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dp" ContentType="image/vnd.ms-photo"/>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ind w:left="-210" w:leftChars="-100" w:right="-391" w:rightChars="-186"/>
        <w:jc w:val="center"/>
        <w:rPr>
          <w:rFonts w:ascii="Times New Roman" w:hAnsi="Times New Roman"/>
          <w:b/>
          <w:bCs/>
          <w:snapToGrid w:val="0"/>
          <w:kern w:val="0"/>
          <w:sz w:val="44"/>
          <w:szCs w:val="44"/>
        </w:rPr>
      </w:pPr>
      <w:bookmarkStart w:id="0" w:name="_Hlk524898146"/>
      <w:bookmarkEnd w:id="0"/>
    </w:p>
    <w:p>
      <w:pPr>
        <w:snapToGrid w:val="0"/>
        <w:spacing w:line="360" w:lineRule="auto"/>
        <w:ind w:left="-210" w:leftChars="-100" w:right="-391" w:rightChars="-186"/>
        <w:jc w:val="center"/>
        <w:rPr>
          <w:rFonts w:ascii="Times New Roman" w:hAnsi="Times New Roman"/>
          <w:b/>
          <w:bCs/>
          <w:snapToGrid w:val="0"/>
          <w:kern w:val="0"/>
          <w:sz w:val="44"/>
          <w:szCs w:val="44"/>
        </w:rPr>
      </w:pPr>
    </w:p>
    <w:p>
      <w:pPr>
        <w:snapToGrid w:val="0"/>
        <w:spacing w:line="360" w:lineRule="auto"/>
        <w:ind w:left="-210" w:leftChars="-100" w:right="-391" w:rightChars="-186"/>
        <w:jc w:val="center"/>
        <w:rPr>
          <w:rFonts w:ascii="Times New Roman" w:hAnsi="Times New Roman"/>
          <w:b/>
          <w:bCs/>
          <w:snapToGrid w:val="0"/>
          <w:kern w:val="0"/>
          <w:sz w:val="44"/>
          <w:szCs w:val="44"/>
        </w:rPr>
      </w:pPr>
    </w:p>
    <w:p>
      <w:pPr>
        <w:snapToGrid w:val="0"/>
        <w:spacing w:line="360" w:lineRule="auto"/>
        <w:ind w:left="-210" w:leftChars="-100" w:right="-391" w:rightChars="-186"/>
        <w:jc w:val="center"/>
        <w:rPr>
          <w:rFonts w:ascii="Times New Roman" w:hAnsi="Times New Roman"/>
          <w:b/>
          <w:bCs/>
          <w:snapToGrid w:val="0"/>
          <w:kern w:val="0"/>
          <w:sz w:val="44"/>
          <w:szCs w:val="44"/>
        </w:rPr>
      </w:pPr>
    </w:p>
    <w:p>
      <w:pPr>
        <w:widowControl/>
        <w:tabs>
          <w:tab w:val="right" w:leader="middleDot" w:pos="8222"/>
        </w:tabs>
        <w:adjustRightInd w:val="0"/>
        <w:snapToGrid w:val="0"/>
        <w:spacing w:after="200" w:line="360" w:lineRule="auto"/>
        <w:jc w:val="center"/>
        <w:rPr>
          <w:rFonts w:hint="default" w:ascii="Times New Roman" w:hAnsi="Times New Roman"/>
          <w:b/>
          <w:bCs/>
          <w:snapToGrid w:val="0"/>
          <w:kern w:val="0"/>
          <w:sz w:val="48"/>
          <w:szCs w:val="48"/>
          <w:lang w:val="en-US" w:eastAsia="zh-CN"/>
        </w:rPr>
      </w:pPr>
      <w:bookmarkStart w:id="1" w:name="_Hlk13844670"/>
      <w:r>
        <w:rPr>
          <w:rFonts w:hint="default" w:ascii="Times New Roman" w:hAnsi="Times New Roman"/>
          <w:b/>
          <w:bCs/>
          <w:snapToGrid w:val="0"/>
          <w:kern w:val="0"/>
          <w:sz w:val="48"/>
          <w:szCs w:val="48"/>
          <w:lang w:val="en-US" w:eastAsia="zh-CN"/>
        </w:rPr>
        <w:t>江苏奥斯佳材料科技股份有限公司</w:t>
      </w:r>
    </w:p>
    <w:p>
      <w:pPr>
        <w:widowControl/>
        <w:tabs>
          <w:tab w:val="right" w:leader="middleDot" w:pos="8222"/>
        </w:tabs>
        <w:adjustRightInd w:val="0"/>
        <w:snapToGrid w:val="0"/>
        <w:spacing w:after="200" w:line="360" w:lineRule="auto"/>
        <w:jc w:val="center"/>
        <w:rPr>
          <w:rFonts w:hint="eastAsia" w:ascii="Times New Roman" w:hAnsi="Times New Roman"/>
          <w:b/>
          <w:bCs/>
          <w:snapToGrid w:val="0"/>
          <w:kern w:val="0"/>
          <w:sz w:val="48"/>
          <w:szCs w:val="48"/>
        </w:rPr>
      </w:pPr>
      <w:r>
        <w:rPr>
          <w:rFonts w:hint="eastAsia" w:ascii="Times New Roman" w:hAnsi="Times New Roman"/>
          <w:b/>
          <w:bCs/>
          <w:snapToGrid w:val="0"/>
          <w:kern w:val="0"/>
          <w:sz w:val="48"/>
          <w:szCs w:val="48"/>
        </w:rPr>
        <w:t>20</w:t>
      </w:r>
      <w:r>
        <w:rPr>
          <w:rFonts w:hint="eastAsia" w:ascii="Times New Roman" w:hAnsi="Times New Roman"/>
          <w:b/>
          <w:bCs/>
          <w:snapToGrid w:val="0"/>
          <w:kern w:val="0"/>
          <w:sz w:val="48"/>
          <w:szCs w:val="48"/>
          <w:lang w:val="en-US" w:eastAsia="zh-CN"/>
        </w:rPr>
        <w:t>21</w:t>
      </w:r>
      <w:r>
        <w:rPr>
          <w:rFonts w:hint="eastAsia" w:ascii="Times New Roman" w:hAnsi="Times New Roman"/>
          <w:b/>
          <w:bCs/>
          <w:snapToGrid w:val="0"/>
          <w:kern w:val="0"/>
          <w:sz w:val="48"/>
          <w:szCs w:val="48"/>
        </w:rPr>
        <w:t>年度土壤与地下水环境质量</w:t>
      </w:r>
    </w:p>
    <w:p>
      <w:pPr>
        <w:widowControl/>
        <w:tabs>
          <w:tab w:val="right" w:leader="middleDot" w:pos="8222"/>
        </w:tabs>
        <w:adjustRightInd w:val="0"/>
        <w:snapToGrid w:val="0"/>
        <w:spacing w:after="200" w:line="360" w:lineRule="auto"/>
        <w:jc w:val="center"/>
        <w:rPr>
          <w:rFonts w:hint="eastAsia" w:ascii="Times New Roman" w:hAnsi="Times New Roman" w:eastAsia="宋体"/>
          <w:b/>
          <w:bCs/>
          <w:snapToGrid w:val="0"/>
          <w:kern w:val="0"/>
          <w:sz w:val="48"/>
          <w:szCs w:val="48"/>
          <w:lang w:eastAsia="zh-CN"/>
        </w:rPr>
      </w:pPr>
      <w:r>
        <w:rPr>
          <w:rFonts w:hint="eastAsia" w:ascii="Times New Roman" w:hAnsi="Times New Roman"/>
          <w:b/>
          <w:bCs/>
          <w:snapToGrid w:val="0"/>
          <w:kern w:val="0"/>
          <w:sz w:val="48"/>
          <w:szCs w:val="48"/>
        </w:rPr>
        <w:t>自行监测</w:t>
      </w:r>
      <w:r>
        <w:rPr>
          <w:rFonts w:hint="eastAsia" w:ascii="Times New Roman" w:hAnsi="Times New Roman"/>
          <w:b/>
          <w:bCs/>
          <w:snapToGrid w:val="0"/>
          <w:kern w:val="0"/>
          <w:sz w:val="48"/>
          <w:szCs w:val="48"/>
          <w:lang w:eastAsia="zh-CN"/>
        </w:rPr>
        <w:t>方案</w:t>
      </w:r>
    </w:p>
    <w:bookmarkEnd w:id="1"/>
    <w:p>
      <w:pPr>
        <w:snapToGrid w:val="0"/>
        <w:spacing w:line="360" w:lineRule="auto"/>
        <w:jc w:val="center"/>
        <w:rPr>
          <w:rFonts w:ascii="Times New Roman" w:hAnsi="Times New Roman"/>
          <w:b/>
          <w:bCs/>
          <w:snapToGrid w:val="0"/>
          <w:kern w:val="0"/>
          <w:sz w:val="48"/>
          <w:szCs w:val="32"/>
        </w:rPr>
      </w:pPr>
    </w:p>
    <w:p>
      <w:pPr>
        <w:snapToGrid w:val="0"/>
        <w:spacing w:line="360" w:lineRule="auto"/>
        <w:jc w:val="center"/>
        <w:rPr>
          <w:rFonts w:ascii="Times New Roman" w:hAnsi="Times New Roman"/>
          <w:b/>
          <w:bCs/>
          <w:snapToGrid w:val="0"/>
          <w:kern w:val="0"/>
          <w:sz w:val="32"/>
          <w:szCs w:val="32"/>
        </w:rPr>
      </w:pPr>
    </w:p>
    <w:p>
      <w:pPr>
        <w:snapToGrid w:val="0"/>
        <w:spacing w:line="360" w:lineRule="auto"/>
        <w:jc w:val="center"/>
        <w:rPr>
          <w:rFonts w:ascii="Times New Roman" w:hAnsi="Times New Roman"/>
          <w:b/>
          <w:bCs/>
          <w:snapToGrid w:val="0"/>
          <w:kern w:val="0"/>
          <w:sz w:val="32"/>
          <w:szCs w:val="32"/>
        </w:rPr>
      </w:pPr>
    </w:p>
    <w:p>
      <w:pPr>
        <w:snapToGrid w:val="0"/>
        <w:spacing w:line="360" w:lineRule="auto"/>
        <w:jc w:val="center"/>
        <w:rPr>
          <w:rFonts w:ascii="Times New Roman" w:hAnsi="Times New Roman"/>
          <w:b/>
          <w:bCs/>
          <w:snapToGrid w:val="0"/>
          <w:kern w:val="0"/>
          <w:sz w:val="32"/>
          <w:szCs w:val="32"/>
        </w:rPr>
      </w:pPr>
    </w:p>
    <w:p>
      <w:pPr>
        <w:snapToGrid w:val="0"/>
        <w:spacing w:line="360" w:lineRule="auto"/>
        <w:jc w:val="center"/>
        <w:rPr>
          <w:rFonts w:ascii="Times New Roman" w:hAnsi="Times New Roman"/>
          <w:b/>
          <w:bCs/>
          <w:snapToGrid w:val="0"/>
          <w:kern w:val="0"/>
          <w:sz w:val="32"/>
          <w:szCs w:val="32"/>
        </w:rPr>
      </w:pPr>
    </w:p>
    <w:p>
      <w:pPr>
        <w:snapToGrid w:val="0"/>
        <w:spacing w:line="360" w:lineRule="auto"/>
        <w:jc w:val="center"/>
        <w:rPr>
          <w:rFonts w:ascii="Times New Roman" w:hAnsi="Times New Roman"/>
          <w:b/>
          <w:bCs/>
          <w:snapToGrid w:val="0"/>
          <w:kern w:val="0"/>
          <w:sz w:val="32"/>
          <w:szCs w:val="32"/>
        </w:rPr>
      </w:pPr>
    </w:p>
    <w:p>
      <w:pPr>
        <w:snapToGrid w:val="0"/>
        <w:spacing w:line="360" w:lineRule="auto"/>
        <w:jc w:val="both"/>
        <w:rPr>
          <w:rFonts w:ascii="Times New Roman" w:hAnsi="Times New Roman"/>
          <w:b/>
          <w:bCs/>
          <w:snapToGrid w:val="0"/>
          <w:kern w:val="0"/>
          <w:sz w:val="32"/>
          <w:szCs w:val="32"/>
        </w:rPr>
      </w:pPr>
    </w:p>
    <w:p>
      <w:pPr>
        <w:snapToGrid w:val="0"/>
        <w:spacing w:line="360" w:lineRule="auto"/>
        <w:jc w:val="both"/>
        <w:rPr>
          <w:rFonts w:ascii="Times New Roman" w:hAnsi="Times New Roman"/>
          <w:b/>
          <w:bCs/>
          <w:snapToGrid w:val="0"/>
          <w:kern w:val="0"/>
          <w:sz w:val="32"/>
          <w:szCs w:val="32"/>
        </w:rPr>
      </w:pPr>
    </w:p>
    <w:p>
      <w:pPr>
        <w:snapToGrid w:val="0"/>
        <w:spacing w:line="360" w:lineRule="auto"/>
        <w:jc w:val="both"/>
        <w:rPr>
          <w:rFonts w:ascii="Times New Roman" w:hAnsi="Times New Roman"/>
          <w:b/>
          <w:bCs/>
          <w:snapToGrid w:val="0"/>
          <w:kern w:val="0"/>
          <w:sz w:val="32"/>
          <w:szCs w:val="32"/>
        </w:rPr>
      </w:pPr>
    </w:p>
    <w:p>
      <w:pPr>
        <w:snapToGrid w:val="0"/>
        <w:spacing w:line="360" w:lineRule="auto"/>
        <w:jc w:val="both"/>
        <w:rPr>
          <w:rFonts w:ascii="Times New Roman" w:hAnsi="Times New Roman"/>
          <w:b/>
          <w:bCs/>
          <w:snapToGrid w:val="0"/>
          <w:kern w:val="0"/>
          <w:sz w:val="32"/>
          <w:szCs w:val="32"/>
        </w:rPr>
      </w:pPr>
    </w:p>
    <w:p>
      <w:pPr>
        <w:snapToGrid w:val="0"/>
        <w:spacing w:line="360" w:lineRule="auto"/>
        <w:ind w:right="-391" w:rightChars="-186"/>
        <w:jc w:val="center"/>
        <w:rPr>
          <w:rFonts w:hint="eastAsia" w:ascii="Times New Roman" w:hAnsi="Times New Roman" w:eastAsia="宋体"/>
          <w:snapToGrid w:val="0"/>
          <w:kern w:val="0"/>
          <w:sz w:val="32"/>
          <w:szCs w:val="32"/>
          <w:lang w:eastAsia="zh-CN"/>
        </w:rPr>
      </w:pPr>
      <w:r>
        <w:rPr>
          <w:rFonts w:hint="default" w:ascii="Times New Roman" w:hAnsi="Times New Roman"/>
          <w:snapToGrid w:val="0"/>
          <w:kern w:val="0"/>
          <w:sz w:val="32"/>
          <w:szCs w:val="32"/>
          <w:lang w:val="en-US" w:eastAsia="zh-CN"/>
        </w:rPr>
        <w:t>江苏奥斯佳材料科技股份有限公司</w:t>
      </w:r>
    </w:p>
    <w:p>
      <w:pPr>
        <w:snapToGrid w:val="0"/>
        <w:spacing w:line="360" w:lineRule="auto"/>
        <w:ind w:right="-391" w:rightChars="-186"/>
        <w:jc w:val="center"/>
        <w:rPr>
          <w:rFonts w:ascii="Times New Roman" w:hAnsi="Times New Roman"/>
          <w:snapToGrid w:val="0"/>
          <w:kern w:val="0"/>
          <w:sz w:val="32"/>
          <w:szCs w:val="32"/>
        </w:rPr>
      </w:pPr>
      <w:r>
        <w:rPr>
          <w:rFonts w:hint="eastAsia" w:ascii="Times New Roman" w:hAnsi="Times New Roman"/>
          <w:snapToGrid w:val="0"/>
          <w:kern w:val="0"/>
          <w:sz w:val="32"/>
          <w:szCs w:val="32"/>
          <w:lang w:val="en-US" w:eastAsia="zh-CN"/>
        </w:rPr>
        <w:t>2021</w:t>
      </w:r>
      <w:r>
        <w:rPr>
          <w:rFonts w:ascii="Times New Roman" w:hAnsi="Times New Roman"/>
          <w:snapToGrid w:val="0"/>
          <w:kern w:val="0"/>
          <w:sz w:val="32"/>
          <w:szCs w:val="32"/>
        </w:rPr>
        <w:t>年</w:t>
      </w:r>
      <w:r>
        <w:rPr>
          <w:rFonts w:hint="eastAsia" w:ascii="Times New Roman" w:hAnsi="Times New Roman"/>
          <w:snapToGrid w:val="0"/>
          <w:kern w:val="0"/>
          <w:sz w:val="32"/>
          <w:szCs w:val="32"/>
          <w:lang w:val="en-US" w:eastAsia="zh-CN"/>
        </w:rPr>
        <w:t>5</w:t>
      </w:r>
      <w:r>
        <w:rPr>
          <w:rFonts w:ascii="Times New Roman" w:hAnsi="Times New Roman"/>
          <w:snapToGrid w:val="0"/>
          <w:kern w:val="0"/>
          <w:sz w:val="32"/>
          <w:szCs w:val="32"/>
        </w:rPr>
        <w:t>月</w:t>
      </w:r>
    </w:p>
    <w:p>
      <w:pPr>
        <w:widowControl/>
        <w:jc w:val="left"/>
        <w:rPr>
          <w:rFonts w:ascii="Times New Roman" w:hAnsi="Times New Roman"/>
          <w:snapToGrid w:val="0"/>
          <w:kern w:val="0"/>
          <w:sz w:val="32"/>
          <w:szCs w:val="32"/>
        </w:rPr>
        <w:sectPr>
          <w:headerReference r:id="rId3" w:type="default"/>
          <w:pgSz w:w="11906" w:h="16838"/>
          <w:pgMar w:top="1440" w:right="1800" w:bottom="1440" w:left="1800" w:header="851" w:footer="992" w:gutter="0"/>
          <w:cols w:space="425" w:num="1"/>
          <w:docGrid w:type="lines" w:linePitch="312" w:charSpace="0"/>
        </w:sectPr>
      </w:pPr>
    </w:p>
    <w:p>
      <w:pPr>
        <w:jc w:val="center"/>
        <w:rPr>
          <w:rFonts w:ascii="Times New Roman" w:hAnsi="Times New Roman"/>
          <w:b/>
          <w:snapToGrid w:val="0"/>
          <w:kern w:val="0"/>
          <w:sz w:val="32"/>
          <w:szCs w:val="32"/>
        </w:rPr>
      </w:pPr>
      <w:r>
        <w:rPr>
          <w:rFonts w:hint="eastAsia" w:ascii="Times New Roman" w:hAnsi="Times New Roman"/>
          <w:b/>
          <w:snapToGrid w:val="0"/>
          <w:kern w:val="0"/>
          <w:sz w:val="32"/>
          <w:szCs w:val="32"/>
        </w:rPr>
        <w:t>目录</w:t>
      </w:r>
    </w:p>
    <w:p>
      <w:pPr>
        <w:pStyle w:val="13"/>
        <w:tabs>
          <w:tab w:val="right" w:leader="dot" w:pos="8306"/>
          <w:tab w:val="clear" w:pos="8296"/>
        </w:tabs>
      </w:pPr>
      <w:r>
        <w:rPr>
          <w:snapToGrid w:val="0"/>
          <w:kern w:val="0"/>
        </w:rPr>
        <w:fldChar w:fldCharType="begin"/>
      </w:r>
      <w:r>
        <w:rPr>
          <w:snapToGrid w:val="0"/>
          <w:kern w:val="0"/>
        </w:rPr>
        <w:instrText xml:space="preserve"> TOC \o "1-3" \h \z \u </w:instrText>
      </w:r>
      <w:r>
        <w:rPr>
          <w:snapToGrid w:val="0"/>
          <w:kern w:val="0"/>
        </w:rPr>
        <w:fldChar w:fldCharType="separate"/>
      </w:r>
      <w:r>
        <w:rPr>
          <w:snapToGrid w:val="0"/>
          <w:kern w:val="0"/>
        </w:rPr>
        <w:fldChar w:fldCharType="begin"/>
      </w:r>
      <w:r>
        <w:rPr>
          <w:snapToGrid w:val="0"/>
          <w:kern w:val="0"/>
        </w:rPr>
        <w:instrText xml:space="preserve"> HYPERLINK \l _Toc4969 </w:instrText>
      </w:r>
      <w:r>
        <w:rPr>
          <w:snapToGrid w:val="0"/>
          <w:kern w:val="0"/>
        </w:rPr>
        <w:fldChar w:fldCharType="separate"/>
      </w:r>
      <w:r>
        <w:rPr>
          <w:rFonts w:ascii="Times New Roman" w:hAnsi="Times New Roman"/>
          <w:bCs/>
          <w:kern w:val="44"/>
          <w:szCs w:val="44"/>
        </w:rPr>
        <w:t>1 项目概述</w:t>
      </w:r>
      <w:r>
        <w:tab/>
      </w:r>
      <w:r>
        <w:fldChar w:fldCharType="begin"/>
      </w:r>
      <w:r>
        <w:instrText xml:space="preserve"> PAGEREF _Toc4969 \h </w:instrText>
      </w:r>
      <w:r>
        <w:fldChar w:fldCharType="separate"/>
      </w:r>
      <w:r>
        <w:t>1</w:t>
      </w:r>
      <w:r>
        <w:fldChar w:fldCharType="end"/>
      </w:r>
      <w:r>
        <w:rPr>
          <w:snapToGrid w:val="0"/>
          <w:kern w:val="0"/>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_Toc259 </w:instrText>
      </w:r>
      <w:r>
        <w:rPr>
          <w:rFonts w:ascii="宋体" w:hAnsi="宋体"/>
          <w:snapToGrid w:val="0"/>
          <w:kern w:val="0"/>
          <w:szCs w:val="24"/>
        </w:rPr>
        <w:fldChar w:fldCharType="separate"/>
      </w:r>
      <w:r>
        <w:rPr>
          <w:rFonts w:ascii="Times New Roman" w:hAnsi="Times New Roman"/>
          <w:bCs/>
          <w:szCs w:val="32"/>
        </w:rPr>
        <w:t>1.1项目背景</w:t>
      </w:r>
      <w:r>
        <w:tab/>
      </w:r>
      <w:r>
        <w:fldChar w:fldCharType="begin"/>
      </w:r>
      <w:r>
        <w:instrText xml:space="preserve"> PAGEREF _Toc259 \h </w:instrText>
      </w:r>
      <w:r>
        <w:fldChar w:fldCharType="separate"/>
      </w:r>
      <w:r>
        <w:t>1</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_Toc5010 </w:instrText>
      </w:r>
      <w:r>
        <w:rPr>
          <w:rFonts w:ascii="宋体" w:hAnsi="宋体"/>
          <w:snapToGrid w:val="0"/>
          <w:kern w:val="0"/>
          <w:szCs w:val="24"/>
        </w:rPr>
        <w:fldChar w:fldCharType="separate"/>
      </w:r>
      <w:r>
        <w:rPr>
          <w:rFonts w:ascii="Times New Roman" w:hAnsi="Times New Roman"/>
          <w:bCs/>
          <w:szCs w:val="32"/>
        </w:rPr>
        <w:t>1.</w:t>
      </w:r>
      <w:r>
        <w:rPr>
          <w:rFonts w:hint="eastAsia" w:ascii="Times New Roman" w:hAnsi="Times New Roman"/>
          <w:bCs/>
          <w:szCs w:val="32"/>
        </w:rPr>
        <w:t>2企业简介</w:t>
      </w:r>
      <w:r>
        <w:tab/>
      </w:r>
      <w:r>
        <w:fldChar w:fldCharType="begin"/>
      </w:r>
      <w:r>
        <w:instrText xml:space="preserve"> PAGEREF _Toc5010 \h </w:instrText>
      </w:r>
      <w:r>
        <w:fldChar w:fldCharType="separate"/>
      </w:r>
      <w:r>
        <w:t>1</w:t>
      </w:r>
      <w:r>
        <w:fldChar w:fldCharType="end"/>
      </w:r>
      <w:r>
        <w:rPr>
          <w:rFonts w:ascii="宋体" w:hAnsi="宋体"/>
          <w:snapToGrid w:val="0"/>
          <w:kern w:val="0"/>
          <w:szCs w:val="24"/>
        </w:rPr>
        <w:fldChar w:fldCharType="end"/>
      </w:r>
    </w:p>
    <w:p>
      <w:pPr>
        <w:pStyle w:val="13"/>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_Toc20160 </w:instrText>
      </w:r>
      <w:r>
        <w:rPr>
          <w:rFonts w:ascii="宋体" w:hAnsi="宋体"/>
          <w:snapToGrid w:val="0"/>
          <w:kern w:val="0"/>
          <w:szCs w:val="24"/>
        </w:rPr>
        <w:fldChar w:fldCharType="separate"/>
      </w:r>
      <w:r>
        <w:rPr>
          <w:rFonts w:hint="eastAsia" w:ascii="Times New Roman" w:hAnsi="Times New Roman"/>
          <w:bCs/>
          <w:kern w:val="44"/>
          <w:szCs w:val="44"/>
        </w:rPr>
        <w:t>2</w:t>
      </w:r>
      <w:r>
        <w:rPr>
          <w:rFonts w:ascii="Times New Roman" w:hAnsi="Times New Roman"/>
          <w:bCs/>
          <w:kern w:val="44"/>
          <w:szCs w:val="44"/>
        </w:rPr>
        <w:t xml:space="preserve"> </w:t>
      </w:r>
      <w:r>
        <w:rPr>
          <w:rFonts w:hint="eastAsia" w:ascii="Times New Roman" w:hAnsi="Times New Roman"/>
          <w:bCs/>
          <w:kern w:val="44"/>
          <w:szCs w:val="44"/>
        </w:rPr>
        <w:t>编制依据</w:t>
      </w:r>
      <w:r>
        <w:tab/>
      </w:r>
      <w:r>
        <w:fldChar w:fldCharType="begin"/>
      </w:r>
      <w:r>
        <w:instrText xml:space="preserve"> PAGEREF _Toc20160 \h </w:instrText>
      </w:r>
      <w:r>
        <w:fldChar w:fldCharType="separate"/>
      </w:r>
      <w:r>
        <w:t>3</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_Toc30167 </w:instrText>
      </w:r>
      <w:r>
        <w:rPr>
          <w:rFonts w:ascii="宋体" w:hAnsi="宋体"/>
          <w:snapToGrid w:val="0"/>
          <w:kern w:val="0"/>
          <w:szCs w:val="24"/>
        </w:rPr>
        <w:fldChar w:fldCharType="separate"/>
      </w:r>
      <w:r>
        <w:rPr>
          <w:rFonts w:hint="eastAsia" w:ascii="Times New Roman" w:hAnsi="Times New Roman"/>
          <w:bCs/>
          <w:szCs w:val="32"/>
        </w:rPr>
        <w:t>2</w:t>
      </w:r>
      <w:r>
        <w:rPr>
          <w:rFonts w:ascii="Times New Roman" w:hAnsi="Times New Roman"/>
          <w:bCs/>
          <w:szCs w:val="32"/>
        </w:rPr>
        <w:t>.1</w:t>
      </w:r>
      <w:r>
        <w:rPr>
          <w:rFonts w:hint="eastAsia" w:ascii="Times New Roman" w:hAnsi="Times New Roman"/>
          <w:bCs/>
          <w:szCs w:val="32"/>
        </w:rPr>
        <w:t>相关法律、法规及政策</w:t>
      </w:r>
      <w:r>
        <w:tab/>
      </w:r>
      <w:r>
        <w:fldChar w:fldCharType="begin"/>
      </w:r>
      <w:r>
        <w:instrText xml:space="preserve"> PAGEREF _Toc30167 \h </w:instrText>
      </w:r>
      <w:r>
        <w:fldChar w:fldCharType="separate"/>
      </w:r>
      <w:r>
        <w:t>3</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_Toc8991 </w:instrText>
      </w:r>
      <w:r>
        <w:rPr>
          <w:rFonts w:ascii="宋体" w:hAnsi="宋体"/>
          <w:snapToGrid w:val="0"/>
          <w:kern w:val="0"/>
          <w:szCs w:val="24"/>
        </w:rPr>
        <w:fldChar w:fldCharType="separate"/>
      </w:r>
      <w:r>
        <w:rPr>
          <w:rFonts w:hint="eastAsia" w:ascii="Times New Roman" w:hAnsi="Times New Roman"/>
          <w:bCs/>
          <w:szCs w:val="32"/>
        </w:rPr>
        <w:t>2</w:t>
      </w:r>
      <w:r>
        <w:rPr>
          <w:rFonts w:ascii="Times New Roman" w:hAnsi="Times New Roman"/>
          <w:bCs/>
          <w:szCs w:val="32"/>
        </w:rPr>
        <w:t>.</w:t>
      </w:r>
      <w:r>
        <w:rPr>
          <w:rFonts w:hint="eastAsia" w:ascii="Times New Roman" w:hAnsi="Times New Roman"/>
          <w:bCs/>
          <w:szCs w:val="32"/>
        </w:rPr>
        <w:t>2相关技术导则、规范及指南</w:t>
      </w:r>
      <w:r>
        <w:tab/>
      </w:r>
      <w:r>
        <w:fldChar w:fldCharType="begin"/>
      </w:r>
      <w:r>
        <w:instrText xml:space="preserve"> PAGEREF _Toc8991 \h </w:instrText>
      </w:r>
      <w:r>
        <w:fldChar w:fldCharType="separate"/>
      </w:r>
      <w:r>
        <w:t>3</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_Toc28234 </w:instrText>
      </w:r>
      <w:r>
        <w:rPr>
          <w:rFonts w:ascii="宋体" w:hAnsi="宋体"/>
          <w:snapToGrid w:val="0"/>
          <w:kern w:val="0"/>
          <w:szCs w:val="24"/>
        </w:rPr>
        <w:fldChar w:fldCharType="separate"/>
      </w:r>
      <w:r>
        <w:rPr>
          <w:rFonts w:hint="eastAsia" w:ascii="Times New Roman" w:hAnsi="Times New Roman"/>
          <w:bCs/>
          <w:szCs w:val="32"/>
        </w:rPr>
        <w:t>2</w:t>
      </w:r>
      <w:r>
        <w:rPr>
          <w:rFonts w:ascii="Times New Roman" w:hAnsi="Times New Roman"/>
          <w:bCs/>
          <w:szCs w:val="32"/>
        </w:rPr>
        <w:t>.</w:t>
      </w:r>
      <w:r>
        <w:rPr>
          <w:rFonts w:hint="eastAsia" w:ascii="Times New Roman" w:hAnsi="Times New Roman"/>
          <w:bCs/>
          <w:szCs w:val="32"/>
        </w:rPr>
        <w:t>3相关标准</w:t>
      </w:r>
      <w:r>
        <w:tab/>
      </w:r>
      <w:r>
        <w:fldChar w:fldCharType="begin"/>
      </w:r>
      <w:r>
        <w:instrText xml:space="preserve"> PAGEREF _Toc28234 \h </w:instrText>
      </w:r>
      <w:r>
        <w:fldChar w:fldCharType="separate"/>
      </w:r>
      <w:r>
        <w:t>4</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_Toc9135 </w:instrText>
      </w:r>
      <w:r>
        <w:rPr>
          <w:rFonts w:ascii="宋体" w:hAnsi="宋体"/>
          <w:snapToGrid w:val="0"/>
          <w:kern w:val="0"/>
          <w:szCs w:val="24"/>
        </w:rPr>
        <w:fldChar w:fldCharType="separate"/>
      </w:r>
      <w:r>
        <w:rPr>
          <w:rFonts w:hint="eastAsia" w:ascii="Times New Roman" w:hAnsi="Times New Roman"/>
          <w:bCs/>
          <w:szCs w:val="32"/>
        </w:rPr>
        <w:t>2</w:t>
      </w:r>
      <w:r>
        <w:rPr>
          <w:rFonts w:ascii="Times New Roman" w:hAnsi="Times New Roman"/>
          <w:bCs/>
          <w:szCs w:val="32"/>
        </w:rPr>
        <w:t>.</w:t>
      </w:r>
      <w:r>
        <w:rPr>
          <w:rFonts w:hint="eastAsia" w:ascii="Times New Roman" w:hAnsi="Times New Roman"/>
          <w:bCs/>
          <w:szCs w:val="32"/>
        </w:rPr>
        <w:t>4其他资料</w:t>
      </w:r>
      <w:r>
        <w:tab/>
      </w:r>
      <w:r>
        <w:fldChar w:fldCharType="begin"/>
      </w:r>
      <w:r>
        <w:instrText xml:space="preserve"> PAGEREF _Toc9135 \h </w:instrText>
      </w:r>
      <w:r>
        <w:fldChar w:fldCharType="separate"/>
      </w:r>
      <w:r>
        <w:t>4</w:t>
      </w:r>
      <w:r>
        <w:fldChar w:fldCharType="end"/>
      </w:r>
      <w:r>
        <w:rPr>
          <w:rFonts w:ascii="宋体" w:hAnsi="宋体"/>
          <w:snapToGrid w:val="0"/>
          <w:kern w:val="0"/>
          <w:szCs w:val="24"/>
        </w:rPr>
        <w:fldChar w:fldCharType="end"/>
      </w:r>
    </w:p>
    <w:p>
      <w:pPr>
        <w:pStyle w:val="13"/>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_Toc20221 </w:instrText>
      </w:r>
      <w:r>
        <w:rPr>
          <w:rFonts w:ascii="宋体" w:hAnsi="宋体"/>
          <w:snapToGrid w:val="0"/>
          <w:kern w:val="0"/>
          <w:szCs w:val="24"/>
        </w:rPr>
        <w:fldChar w:fldCharType="separate"/>
      </w:r>
      <w:r>
        <w:rPr>
          <w:rFonts w:hint="eastAsia" w:ascii="Times New Roman" w:hAnsi="Times New Roman"/>
          <w:bCs/>
          <w:kern w:val="44"/>
          <w:szCs w:val="44"/>
        </w:rPr>
        <w:t>3</w:t>
      </w:r>
      <w:r>
        <w:rPr>
          <w:rFonts w:ascii="Times New Roman" w:hAnsi="Times New Roman"/>
          <w:bCs/>
          <w:kern w:val="44"/>
          <w:szCs w:val="44"/>
        </w:rPr>
        <w:t xml:space="preserve"> </w:t>
      </w:r>
      <w:r>
        <w:rPr>
          <w:rFonts w:hint="eastAsia" w:ascii="Times New Roman" w:hAnsi="Times New Roman"/>
          <w:bCs/>
          <w:kern w:val="44"/>
          <w:szCs w:val="44"/>
        </w:rPr>
        <w:t>工作流程</w:t>
      </w:r>
      <w:r>
        <w:tab/>
      </w:r>
      <w:r>
        <w:fldChar w:fldCharType="begin"/>
      </w:r>
      <w:r>
        <w:instrText xml:space="preserve"> PAGEREF _Toc20221 \h </w:instrText>
      </w:r>
      <w:r>
        <w:fldChar w:fldCharType="separate"/>
      </w:r>
      <w:r>
        <w:t>5</w:t>
      </w:r>
      <w:r>
        <w:fldChar w:fldCharType="end"/>
      </w:r>
      <w:r>
        <w:rPr>
          <w:rFonts w:ascii="宋体" w:hAnsi="宋体"/>
          <w:snapToGrid w:val="0"/>
          <w:kern w:val="0"/>
          <w:szCs w:val="24"/>
        </w:rPr>
        <w:fldChar w:fldCharType="end"/>
      </w:r>
    </w:p>
    <w:p>
      <w:pPr>
        <w:pStyle w:val="13"/>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_Toc31245 </w:instrText>
      </w:r>
      <w:r>
        <w:rPr>
          <w:rFonts w:ascii="宋体" w:hAnsi="宋体"/>
          <w:snapToGrid w:val="0"/>
          <w:kern w:val="0"/>
          <w:szCs w:val="24"/>
        </w:rPr>
        <w:fldChar w:fldCharType="separate"/>
      </w:r>
      <w:r>
        <w:rPr>
          <w:rFonts w:hint="eastAsia" w:ascii="Times New Roman" w:hAnsi="Times New Roman"/>
          <w:bCs/>
          <w:kern w:val="44"/>
          <w:szCs w:val="44"/>
        </w:rPr>
        <w:t>4</w:t>
      </w:r>
      <w:r>
        <w:rPr>
          <w:rFonts w:ascii="Times New Roman" w:hAnsi="Times New Roman"/>
          <w:bCs/>
          <w:kern w:val="44"/>
          <w:szCs w:val="44"/>
        </w:rPr>
        <w:t xml:space="preserve"> </w:t>
      </w:r>
      <w:r>
        <w:rPr>
          <w:rFonts w:hint="eastAsia" w:ascii="Times New Roman" w:hAnsi="Times New Roman"/>
          <w:bCs/>
          <w:kern w:val="44"/>
          <w:szCs w:val="44"/>
        </w:rPr>
        <w:t>排查概况</w:t>
      </w:r>
      <w:r>
        <w:tab/>
      </w:r>
      <w:r>
        <w:fldChar w:fldCharType="begin"/>
      </w:r>
      <w:r>
        <w:instrText xml:space="preserve"> PAGEREF _Toc31245 \h </w:instrText>
      </w:r>
      <w:r>
        <w:fldChar w:fldCharType="separate"/>
      </w:r>
      <w:r>
        <w:t>7</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_Toc932 </w:instrText>
      </w:r>
      <w:r>
        <w:rPr>
          <w:rFonts w:ascii="宋体" w:hAnsi="宋体"/>
          <w:snapToGrid w:val="0"/>
          <w:kern w:val="0"/>
          <w:szCs w:val="24"/>
        </w:rPr>
        <w:fldChar w:fldCharType="separate"/>
      </w:r>
      <w:r>
        <w:rPr>
          <w:rFonts w:hint="eastAsia" w:ascii="Times New Roman" w:hAnsi="Times New Roman"/>
          <w:bCs/>
          <w:szCs w:val="32"/>
        </w:rPr>
        <w:t>4</w:t>
      </w:r>
      <w:r>
        <w:rPr>
          <w:rFonts w:ascii="Times New Roman" w:hAnsi="Times New Roman"/>
          <w:bCs/>
          <w:szCs w:val="32"/>
        </w:rPr>
        <w:t>.1</w:t>
      </w:r>
      <w:r>
        <w:rPr>
          <w:rFonts w:hint="eastAsia" w:ascii="Times New Roman" w:hAnsi="Times New Roman"/>
          <w:bCs/>
          <w:szCs w:val="32"/>
        </w:rPr>
        <w:t>企业建设概况</w:t>
      </w:r>
      <w:r>
        <w:tab/>
      </w:r>
      <w:r>
        <w:fldChar w:fldCharType="begin"/>
      </w:r>
      <w:r>
        <w:instrText xml:space="preserve"> PAGEREF _Toc932 \h </w:instrText>
      </w:r>
      <w:r>
        <w:fldChar w:fldCharType="separate"/>
      </w:r>
      <w:r>
        <w:t>7</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_Toc20861 </w:instrText>
      </w:r>
      <w:r>
        <w:rPr>
          <w:rFonts w:ascii="宋体" w:hAnsi="宋体"/>
          <w:snapToGrid w:val="0"/>
          <w:kern w:val="0"/>
          <w:szCs w:val="24"/>
        </w:rPr>
        <w:fldChar w:fldCharType="separate"/>
      </w:r>
      <w:r>
        <w:rPr>
          <w:rFonts w:hint="eastAsia" w:ascii="Times New Roman" w:hAnsi="Times New Roman"/>
          <w:bCs/>
          <w:szCs w:val="32"/>
        </w:rPr>
        <w:t>4</w:t>
      </w:r>
      <w:r>
        <w:rPr>
          <w:rFonts w:ascii="Times New Roman" w:hAnsi="Times New Roman"/>
          <w:bCs/>
          <w:szCs w:val="32"/>
        </w:rPr>
        <w:t>.</w:t>
      </w:r>
      <w:r>
        <w:rPr>
          <w:rFonts w:hint="eastAsia" w:ascii="Times New Roman" w:hAnsi="Times New Roman"/>
          <w:bCs/>
          <w:szCs w:val="32"/>
        </w:rPr>
        <w:t>2产品及原辅料消耗</w:t>
      </w:r>
      <w:r>
        <w:tab/>
      </w:r>
      <w:r>
        <w:fldChar w:fldCharType="begin"/>
      </w:r>
      <w:r>
        <w:instrText xml:space="preserve"> PAGEREF _Toc20861 \h </w:instrText>
      </w:r>
      <w:r>
        <w:fldChar w:fldCharType="separate"/>
      </w:r>
      <w:r>
        <w:t>9</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_Toc18248 </w:instrText>
      </w:r>
      <w:r>
        <w:rPr>
          <w:rFonts w:ascii="宋体" w:hAnsi="宋体"/>
          <w:snapToGrid w:val="0"/>
          <w:kern w:val="0"/>
          <w:szCs w:val="24"/>
        </w:rPr>
        <w:fldChar w:fldCharType="separate"/>
      </w:r>
      <w:r>
        <w:rPr>
          <w:rFonts w:hint="eastAsia" w:ascii="Times New Roman" w:hAnsi="Times New Roman"/>
          <w:bCs/>
          <w:szCs w:val="32"/>
        </w:rPr>
        <w:t>4</w:t>
      </w:r>
      <w:r>
        <w:rPr>
          <w:rFonts w:ascii="Times New Roman" w:hAnsi="Times New Roman"/>
          <w:bCs/>
          <w:szCs w:val="32"/>
        </w:rPr>
        <w:t>.</w:t>
      </w:r>
      <w:r>
        <w:rPr>
          <w:rFonts w:hint="eastAsia" w:ascii="Times New Roman" w:hAnsi="Times New Roman"/>
          <w:bCs/>
          <w:szCs w:val="32"/>
        </w:rPr>
        <w:t>3主要生产工艺</w:t>
      </w:r>
      <w:r>
        <w:tab/>
      </w:r>
      <w:r>
        <w:fldChar w:fldCharType="begin"/>
      </w:r>
      <w:r>
        <w:instrText xml:space="preserve"> PAGEREF _Toc18248 \h </w:instrText>
      </w:r>
      <w:r>
        <w:fldChar w:fldCharType="separate"/>
      </w:r>
      <w:r>
        <w:t>9</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_Toc31123 </w:instrText>
      </w:r>
      <w:r>
        <w:rPr>
          <w:rFonts w:ascii="宋体" w:hAnsi="宋体"/>
          <w:snapToGrid w:val="0"/>
          <w:kern w:val="0"/>
          <w:szCs w:val="24"/>
        </w:rPr>
        <w:fldChar w:fldCharType="separate"/>
      </w:r>
      <w:r>
        <w:rPr>
          <w:rFonts w:hint="eastAsia" w:ascii="Times New Roman" w:hAnsi="Times New Roman"/>
          <w:bCs/>
          <w:szCs w:val="32"/>
        </w:rPr>
        <w:t>4</w:t>
      </w:r>
      <w:r>
        <w:rPr>
          <w:rFonts w:ascii="Times New Roman" w:hAnsi="Times New Roman"/>
          <w:bCs/>
          <w:szCs w:val="32"/>
        </w:rPr>
        <w:t>.</w:t>
      </w:r>
      <w:r>
        <w:rPr>
          <w:rFonts w:hint="eastAsia" w:ascii="Times New Roman" w:hAnsi="Times New Roman"/>
          <w:bCs/>
          <w:szCs w:val="32"/>
        </w:rPr>
        <w:t>4隐患排查结论</w:t>
      </w:r>
      <w:r>
        <w:tab/>
      </w:r>
      <w:r>
        <w:fldChar w:fldCharType="begin"/>
      </w:r>
      <w:r>
        <w:instrText xml:space="preserve"> PAGEREF _Toc31123 \h </w:instrText>
      </w:r>
      <w:r>
        <w:fldChar w:fldCharType="separate"/>
      </w:r>
      <w:r>
        <w:t>13</w:t>
      </w:r>
      <w:r>
        <w:fldChar w:fldCharType="end"/>
      </w:r>
      <w:r>
        <w:rPr>
          <w:rFonts w:ascii="宋体" w:hAnsi="宋体"/>
          <w:snapToGrid w:val="0"/>
          <w:kern w:val="0"/>
          <w:szCs w:val="24"/>
        </w:rPr>
        <w:fldChar w:fldCharType="end"/>
      </w:r>
    </w:p>
    <w:p>
      <w:pPr>
        <w:pStyle w:val="13"/>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_Toc5510 </w:instrText>
      </w:r>
      <w:r>
        <w:rPr>
          <w:rFonts w:ascii="宋体" w:hAnsi="宋体"/>
          <w:snapToGrid w:val="0"/>
          <w:kern w:val="0"/>
          <w:szCs w:val="24"/>
        </w:rPr>
        <w:fldChar w:fldCharType="separate"/>
      </w:r>
      <w:r>
        <w:rPr>
          <w:rFonts w:hint="eastAsia" w:ascii="Times New Roman" w:hAnsi="Times New Roman"/>
          <w:bCs/>
          <w:kern w:val="44"/>
          <w:szCs w:val="44"/>
        </w:rPr>
        <w:t>5</w:t>
      </w:r>
      <w:r>
        <w:rPr>
          <w:rFonts w:ascii="Times New Roman" w:hAnsi="Times New Roman"/>
          <w:bCs/>
          <w:kern w:val="44"/>
          <w:szCs w:val="44"/>
        </w:rPr>
        <w:t xml:space="preserve"> </w:t>
      </w:r>
      <w:r>
        <w:rPr>
          <w:rFonts w:hint="eastAsia" w:ascii="Times New Roman" w:hAnsi="Times New Roman"/>
          <w:bCs/>
          <w:kern w:val="44"/>
          <w:szCs w:val="44"/>
        </w:rPr>
        <w:t>重点区域</w:t>
      </w:r>
      <w:r>
        <w:tab/>
      </w:r>
      <w:r>
        <w:fldChar w:fldCharType="begin"/>
      </w:r>
      <w:r>
        <w:instrText xml:space="preserve"> PAGEREF _Toc5510 \h </w:instrText>
      </w:r>
      <w:r>
        <w:fldChar w:fldCharType="separate"/>
      </w:r>
      <w:r>
        <w:t>14</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_Toc32348 </w:instrText>
      </w:r>
      <w:r>
        <w:rPr>
          <w:rFonts w:ascii="宋体" w:hAnsi="宋体"/>
          <w:snapToGrid w:val="0"/>
          <w:kern w:val="0"/>
          <w:szCs w:val="24"/>
        </w:rPr>
        <w:fldChar w:fldCharType="separate"/>
      </w:r>
      <w:r>
        <w:rPr>
          <w:rFonts w:hint="eastAsia" w:ascii="Times New Roman" w:hAnsi="Times New Roman"/>
          <w:bCs/>
          <w:szCs w:val="32"/>
        </w:rPr>
        <w:t>5.1识别原则</w:t>
      </w:r>
      <w:r>
        <w:tab/>
      </w:r>
      <w:r>
        <w:fldChar w:fldCharType="begin"/>
      </w:r>
      <w:r>
        <w:instrText xml:space="preserve"> PAGEREF _Toc32348 \h </w:instrText>
      </w:r>
      <w:r>
        <w:fldChar w:fldCharType="separate"/>
      </w:r>
      <w:r>
        <w:t>14</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_Toc23928 </w:instrText>
      </w:r>
      <w:r>
        <w:rPr>
          <w:rFonts w:ascii="宋体" w:hAnsi="宋体"/>
          <w:snapToGrid w:val="0"/>
          <w:kern w:val="0"/>
          <w:szCs w:val="24"/>
        </w:rPr>
        <w:fldChar w:fldCharType="separate"/>
      </w:r>
      <w:r>
        <w:rPr>
          <w:rFonts w:hint="eastAsia" w:ascii="Times New Roman" w:hAnsi="Times New Roman"/>
          <w:bCs/>
          <w:szCs w:val="32"/>
        </w:rPr>
        <w:t>5.</w:t>
      </w:r>
      <w:r>
        <w:rPr>
          <w:rFonts w:hint="eastAsia" w:ascii="Times New Roman" w:hAnsi="Times New Roman"/>
          <w:bCs/>
          <w:szCs w:val="32"/>
          <w:lang w:val="en-US" w:eastAsia="zh-CN"/>
        </w:rPr>
        <w:t>2</w:t>
      </w:r>
      <w:r>
        <w:rPr>
          <w:rFonts w:hint="eastAsia" w:ascii="Times New Roman" w:hAnsi="Times New Roman"/>
          <w:bCs/>
          <w:szCs w:val="32"/>
        </w:rPr>
        <w:t>重点设施的识别</w:t>
      </w:r>
      <w:r>
        <w:tab/>
      </w:r>
      <w:r>
        <w:fldChar w:fldCharType="begin"/>
      </w:r>
      <w:r>
        <w:instrText xml:space="preserve"> PAGEREF _Toc23928 \h </w:instrText>
      </w:r>
      <w:r>
        <w:fldChar w:fldCharType="separate"/>
      </w:r>
      <w:r>
        <w:t>14</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_Toc17462 </w:instrText>
      </w:r>
      <w:r>
        <w:rPr>
          <w:rFonts w:ascii="宋体" w:hAnsi="宋体"/>
          <w:snapToGrid w:val="0"/>
          <w:kern w:val="0"/>
          <w:szCs w:val="24"/>
        </w:rPr>
        <w:fldChar w:fldCharType="separate"/>
      </w:r>
      <w:r>
        <w:rPr>
          <w:rFonts w:hint="eastAsia" w:ascii="Times New Roman" w:hAnsi="Times New Roman"/>
          <w:bCs/>
          <w:szCs w:val="32"/>
        </w:rPr>
        <w:t>5.</w:t>
      </w:r>
      <w:r>
        <w:rPr>
          <w:rFonts w:hint="eastAsia" w:ascii="Times New Roman" w:hAnsi="Times New Roman"/>
          <w:bCs/>
          <w:szCs w:val="32"/>
          <w:lang w:val="en-US" w:eastAsia="zh-CN"/>
        </w:rPr>
        <w:t>3</w:t>
      </w:r>
      <w:r>
        <w:rPr>
          <w:rFonts w:hint="eastAsia" w:ascii="Times New Roman" w:hAnsi="Times New Roman"/>
          <w:bCs/>
          <w:szCs w:val="32"/>
        </w:rPr>
        <w:t>重点区域的识别</w:t>
      </w:r>
      <w:r>
        <w:tab/>
      </w:r>
      <w:r>
        <w:fldChar w:fldCharType="begin"/>
      </w:r>
      <w:r>
        <w:instrText xml:space="preserve"> PAGEREF _Toc17462 \h </w:instrText>
      </w:r>
      <w:r>
        <w:fldChar w:fldCharType="separate"/>
      </w:r>
      <w:r>
        <w:t>16</w:t>
      </w:r>
      <w:r>
        <w:fldChar w:fldCharType="end"/>
      </w:r>
      <w:r>
        <w:rPr>
          <w:rFonts w:ascii="宋体" w:hAnsi="宋体"/>
          <w:snapToGrid w:val="0"/>
          <w:kern w:val="0"/>
          <w:szCs w:val="24"/>
        </w:rPr>
        <w:fldChar w:fldCharType="end"/>
      </w:r>
    </w:p>
    <w:p>
      <w:pPr>
        <w:pStyle w:val="13"/>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_Toc20728 </w:instrText>
      </w:r>
      <w:r>
        <w:rPr>
          <w:rFonts w:ascii="宋体" w:hAnsi="宋体"/>
          <w:snapToGrid w:val="0"/>
          <w:kern w:val="0"/>
          <w:szCs w:val="24"/>
        </w:rPr>
        <w:fldChar w:fldCharType="separate"/>
      </w:r>
      <w:r>
        <w:rPr>
          <w:rFonts w:hint="eastAsia" w:ascii="Times New Roman" w:hAnsi="Times New Roman"/>
          <w:bCs/>
          <w:kern w:val="44"/>
          <w:szCs w:val="44"/>
        </w:rPr>
        <w:t>6</w:t>
      </w:r>
      <w:r>
        <w:rPr>
          <w:rFonts w:ascii="Times New Roman" w:hAnsi="Times New Roman"/>
          <w:bCs/>
          <w:kern w:val="44"/>
          <w:szCs w:val="44"/>
        </w:rPr>
        <w:t xml:space="preserve"> </w:t>
      </w:r>
      <w:r>
        <w:rPr>
          <w:rFonts w:hint="eastAsia" w:ascii="Times New Roman" w:hAnsi="Times New Roman"/>
          <w:bCs/>
          <w:kern w:val="44"/>
          <w:szCs w:val="44"/>
        </w:rPr>
        <w:t>监测点位</w:t>
      </w:r>
      <w:r>
        <w:tab/>
      </w:r>
      <w:r>
        <w:fldChar w:fldCharType="begin"/>
      </w:r>
      <w:r>
        <w:instrText xml:space="preserve"> PAGEREF _Toc20728 \h </w:instrText>
      </w:r>
      <w:r>
        <w:fldChar w:fldCharType="separate"/>
      </w:r>
      <w:r>
        <w:t>18</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_Toc16433 </w:instrText>
      </w:r>
      <w:r>
        <w:rPr>
          <w:rFonts w:ascii="宋体" w:hAnsi="宋体"/>
          <w:snapToGrid w:val="0"/>
          <w:kern w:val="0"/>
          <w:szCs w:val="24"/>
        </w:rPr>
        <w:fldChar w:fldCharType="separate"/>
      </w:r>
      <w:r>
        <w:rPr>
          <w:rFonts w:hint="eastAsia" w:ascii="Times New Roman" w:hAnsi="Times New Roman"/>
          <w:bCs/>
          <w:szCs w:val="32"/>
        </w:rPr>
        <w:t>6.1点位布设原则</w:t>
      </w:r>
      <w:r>
        <w:tab/>
      </w:r>
      <w:r>
        <w:fldChar w:fldCharType="begin"/>
      </w:r>
      <w:r>
        <w:instrText xml:space="preserve"> PAGEREF _Toc16433 \h </w:instrText>
      </w:r>
      <w:r>
        <w:fldChar w:fldCharType="separate"/>
      </w:r>
      <w:r>
        <w:t>18</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_Toc23001 </w:instrText>
      </w:r>
      <w:r>
        <w:rPr>
          <w:rFonts w:ascii="宋体" w:hAnsi="宋体"/>
          <w:snapToGrid w:val="0"/>
          <w:kern w:val="0"/>
          <w:szCs w:val="24"/>
        </w:rPr>
        <w:fldChar w:fldCharType="separate"/>
      </w:r>
      <w:r>
        <w:rPr>
          <w:rFonts w:hint="eastAsia" w:ascii="Times New Roman" w:hAnsi="Times New Roman"/>
          <w:bCs/>
          <w:szCs w:val="32"/>
        </w:rPr>
        <w:t>6.2土壤监测</w:t>
      </w:r>
      <w:r>
        <w:tab/>
      </w:r>
      <w:r>
        <w:fldChar w:fldCharType="begin"/>
      </w:r>
      <w:r>
        <w:instrText xml:space="preserve"> PAGEREF _Toc23001 \h </w:instrText>
      </w:r>
      <w:r>
        <w:fldChar w:fldCharType="separate"/>
      </w:r>
      <w:r>
        <w:t>19</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_Toc3827 </w:instrText>
      </w:r>
      <w:r>
        <w:rPr>
          <w:rFonts w:ascii="宋体" w:hAnsi="宋体"/>
          <w:snapToGrid w:val="0"/>
          <w:kern w:val="0"/>
          <w:szCs w:val="24"/>
        </w:rPr>
        <w:fldChar w:fldCharType="separate"/>
      </w:r>
      <w:r>
        <w:rPr>
          <w:rFonts w:hint="eastAsia" w:ascii="Times New Roman" w:hAnsi="Times New Roman"/>
          <w:bCs/>
          <w:szCs w:val="32"/>
        </w:rPr>
        <w:t>6.3地下水监测</w:t>
      </w:r>
      <w:r>
        <w:tab/>
      </w:r>
      <w:r>
        <w:fldChar w:fldCharType="begin"/>
      </w:r>
      <w:r>
        <w:instrText xml:space="preserve"> PAGEREF _Toc3827 \h </w:instrText>
      </w:r>
      <w:r>
        <w:fldChar w:fldCharType="separate"/>
      </w:r>
      <w:r>
        <w:t>22</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_Toc6481 </w:instrText>
      </w:r>
      <w:r>
        <w:rPr>
          <w:rFonts w:ascii="宋体" w:hAnsi="宋体"/>
          <w:snapToGrid w:val="0"/>
          <w:kern w:val="0"/>
          <w:szCs w:val="24"/>
        </w:rPr>
        <w:fldChar w:fldCharType="separate"/>
      </w:r>
      <w:r>
        <w:rPr>
          <w:rFonts w:hint="eastAsia" w:ascii="Times New Roman" w:hAnsi="Times New Roman"/>
          <w:bCs/>
          <w:szCs w:val="32"/>
        </w:rPr>
        <w:t>6.4点位重叠</w:t>
      </w:r>
      <w:r>
        <w:tab/>
      </w:r>
      <w:r>
        <w:fldChar w:fldCharType="begin"/>
      </w:r>
      <w:r>
        <w:instrText xml:space="preserve"> PAGEREF _Toc6481 \h </w:instrText>
      </w:r>
      <w:r>
        <w:fldChar w:fldCharType="separate"/>
      </w:r>
      <w:r>
        <w:t>25</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_Toc27788 </w:instrText>
      </w:r>
      <w:r>
        <w:rPr>
          <w:rFonts w:ascii="宋体" w:hAnsi="宋体"/>
          <w:snapToGrid w:val="0"/>
          <w:kern w:val="0"/>
          <w:szCs w:val="24"/>
        </w:rPr>
        <w:fldChar w:fldCharType="separate"/>
      </w:r>
      <w:r>
        <w:rPr>
          <w:rFonts w:hint="eastAsia" w:ascii="Times New Roman" w:hAnsi="Times New Roman"/>
          <w:bCs/>
          <w:szCs w:val="32"/>
        </w:rPr>
        <w:t>6.</w:t>
      </w:r>
      <w:r>
        <w:rPr>
          <w:rFonts w:ascii="Times New Roman" w:hAnsi="Times New Roman"/>
          <w:bCs/>
          <w:szCs w:val="32"/>
        </w:rPr>
        <w:t>5</w:t>
      </w:r>
      <w:r>
        <w:rPr>
          <w:rFonts w:hint="eastAsia" w:ascii="Times New Roman" w:hAnsi="Times New Roman"/>
          <w:bCs/>
          <w:szCs w:val="32"/>
        </w:rPr>
        <w:t>对照点</w:t>
      </w:r>
      <w:r>
        <w:tab/>
      </w:r>
      <w:r>
        <w:fldChar w:fldCharType="begin"/>
      </w:r>
      <w:r>
        <w:instrText xml:space="preserve"> PAGEREF _Toc27788 \h </w:instrText>
      </w:r>
      <w:r>
        <w:fldChar w:fldCharType="separate"/>
      </w:r>
      <w:r>
        <w:t>25</w:t>
      </w:r>
      <w:r>
        <w:fldChar w:fldCharType="end"/>
      </w:r>
      <w:r>
        <w:rPr>
          <w:rFonts w:ascii="宋体" w:hAnsi="宋体"/>
          <w:snapToGrid w:val="0"/>
          <w:kern w:val="0"/>
          <w:szCs w:val="24"/>
        </w:rPr>
        <w:fldChar w:fldCharType="end"/>
      </w:r>
    </w:p>
    <w:p>
      <w:pPr>
        <w:pStyle w:val="13"/>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_Toc10122 </w:instrText>
      </w:r>
      <w:r>
        <w:rPr>
          <w:rFonts w:ascii="宋体" w:hAnsi="宋体"/>
          <w:snapToGrid w:val="0"/>
          <w:kern w:val="0"/>
          <w:szCs w:val="24"/>
        </w:rPr>
        <w:fldChar w:fldCharType="separate"/>
      </w:r>
      <w:r>
        <w:rPr>
          <w:rFonts w:hint="eastAsia" w:ascii="Times New Roman" w:hAnsi="Times New Roman"/>
          <w:bCs/>
          <w:kern w:val="44"/>
          <w:szCs w:val="44"/>
        </w:rPr>
        <w:t>7</w:t>
      </w:r>
      <w:r>
        <w:rPr>
          <w:rFonts w:ascii="Times New Roman" w:hAnsi="Times New Roman"/>
          <w:bCs/>
          <w:kern w:val="44"/>
          <w:szCs w:val="44"/>
        </w:rPr>
        <w:t xml:space="preserve"> </w:t>
      </w:r>
      <w:r>
        <w:rPr>
          <w:rFonts w:hint="eastAsia" w:ascii="Times New Roman" w:hAnsi="Times New Roman"/>
          <w:bCs/>
          <w:kern w:val="44"/>
          <w:szCs w:val="44"/>
        </w:rPr>
        <w:t>监测因子</w:t>
      </w:r>
      <w:r>
        <w:tab/>
      </w:r>
      <w:r>
        <w:fldChar w:fldCharType="begin"/>
      </w:r>
      <w:r>
        <w:instrText xml:space="preserve"> PAGEREF _Toc10122 \h </w:instrText>
      </w:r>
      <w:r>
        <w:fldChar w:fldCharType="separate"/>
      </w:r>
      <w:r>
        <w:t>27</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_Toc25651 </w:instrText>
      </w:r>
      <w:r>
        <w:rPr>
          <w:rFonts w:ascii="宋体" w:hAnsi="宋体"/>
          <w:snapToGrid w:val="0"/>
          <w:kern w:val="0"/>
          <w:szCs w:val="24"/>
        </w:rPr>
        <w:fldChar w:fldCharType="separate"/>
      </w:r>
      <w:r>
        <w:rPr>
          <w:rFonts w:hint="eastAsia" w:ascii="Times New Roman" w:hAnsi="Times New Roman"/>
          <w:bCs/>
          <w:szCs w:val="32"/>
        </w:rPr>
        <w:t>7.1监测因子筛选原则</w:t>
      </w:r>
      <w:r>
        <w:tab/>
      </w:r>
      <w:r>
        <w:fldChar w:fldCharType="begin"/>
      </w:r>
      <w:r>
        <w:instrText xml:space="preserve"> PAGEREF _Toc25651 \h </w:instrText>
      </w:r>
      <w:r>
        <w:fldChar w:fldCharType="separate"/>
      </w:r>
      <w:r>
        <w:t>27</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_Toc575 </w:instrText>
      </w:r>
      <w:r>
        <w:rPr>
          <w:rFonts w:ascii="宋体" w:hAnsi="宋体"/>
          <w:snapToGrid w:val="0"/>
          <w:kern w:val="0"/>
          <w:szCs w:val="24"/>
        </w:rPr>
        <w:fldChar w:fldCharType="separate"/>
      </w:r>
      <w:r>
        <w:rPr>
          <w:rFonts w:hint="eastAsia" w:ascii="Times New Roman" w:hAnsi="Times New Roman"/>
          <w:bCs/>
          <w:szCs w:val="32"/>
        </w:rPr>
        <w:t>7.2筛选结果</w:t>
      </w:r>
      <w:r>
        <w:tab/>
      </w:r>
      <w:r>
        <w:fldChar w:fldCharType="begin"/>
      </w:r>
      <w:r>
        <w:instrText xml:space="preserve"> PAGEREF _Toc575 \h </w:instrText>
      </w:r>
      <w:r>
        <w:fldChar w:fldCharType="separate"/>
      </w:r>
      <w:r>
        <w:t>32</w:t>
      </w:r>
      <w:r>
        <w:fldChar w:fldCharType="end"/>
      </w:r>
      <w:r>
        <w:rPr>
          <w:rFonts w:ascii="宋体" w:hAnsi="宋体"/>
          <w:snapToGrid w:val="0"/>
          <w:kern w:val="0"/>
          <w:szCs w:val="24"/>
        </w:rPr>
        <w:fldChar w:fldCharType="end"/>
      </w:r>
    </w:p>
    <w:p>
      <w:pPr>
        <w:pStyle w:val="13"/>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_Toc5425 </w:instrText>
      </w:r>
      <w:r>
        <w:rPr>
          <w:rFonts w:ascii="宋体" w:hAnsi="宋体"/>
          <w:snapToGrid w:val="0"/>
          <w:kern w:val="0"/>
          <w:szCs w:val="24"/>
        </w:rPr>
        <w:fldChar w:fldCharType="separate"/>
      </w:r>
      <w:r>
        <w:rPr>
          <w:rFonts w:hint="eastAsia" w:ascii="Times New Roman" w:hAnsi="Times New Roman"/>
          <w:bCs/>
          <w:kern w:val="44"/>
          <w:szCs w:val="44"/>
        </w:rPr>
        <w:t>8</w:t>
      </w:r>
      <w:r>
        <w:rPr>
          <w:rFonts w:ascii="Times New Roman" w:hAnsi="Times New Roman"/>
          <w:bCs/>
          <w:kern w:val="44"/>
          <w:szCs w:val="44"/>
        </w:rPr>
        <w:t xml:space="preserve"> </w:t>
      </w:r>
      <w:r>
        <w:rPr>
          <w:rFonts w:hint="eastAsia" w:ascii="Times New Roman" w:hAnsi="Times New Roman"/>
          <w:bCs/>
          <w:kern w:val="44"/>
          <w:szCs w:val="44"/>
        </w:rPr>
        <w:t>现场采样</w:t>
      </w:r>
      <w:r>
        <w:tab/>
      </w:r>
      <w:r>
        <w:fldChar w:fldCharType="begin"/>
      </w:r>
      <w:r>
        <w:instrText xml:space="preserve"> PAGEREF _Toc5425 \h </w:instrText>
      </w:r>
      <w:r>
        <w:fldChar w:fldCharType="separate"/>
      </w:r>
      <w:r>
        <w:t>34</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_Toc6537 </w:instrText>
      </w:r>
      <w:r>
        <w:rPr>
          <w:rFonts w:ascii="宋体" w:hAnsi="宋体"/>
          <w:snapToGrid w:val="0"/>
          <w:kern w:val="0"/>
          <w:szCs w:val="24"/>
        </w:rPr>
        <w:fldChar w:fldCharType="separate"/>
      </w:r>
      <w:r>
        <w:rPr>
          <w:rFonts w:ascii="Times New Roman" w:hAnsi="Times New Roman"/>
          <w:bCs/>
          <w:szCs w:val="32"/>
        </w:rPr>
        <w:t>8.1土壤样品的采集、保存和运输</w:t>
      </w:r>
      <w:r>
        <w:tab/>
      </w:r>
      <w:r>
        <w:fldChar w:fldCharType="begin"/>
      </w:r>
      <w:r>
        <w:instrText xml:space="preserve"> PAGEREF _Toc6537 \h </w:instrText>
      </w:r>
      <w:r>
        <w:fldChar w:fldCharType="separate"/>
      </w:r>
      <w:r>
        <w:t>34</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_Toc1962 </w:instrText>
      </w:r>
      <w:r>
        <w:rPr>
          <w:rFonts w:ascii="宋体" w:hAnsi="宋体"/>
          <w:snapToGrid w:val="0"/>
          <w:kern w:val="0"/>
          <w:szCs w:val="24"/>
        </w:rPr>
        <w:fldChar w:fldCharType="separate"/>
      </w:r>
      <w:r>
        <w:rPr>
          <w:rFonts w:ascii="Times New Roman" w:hAnsi="Times New Roman"/>
          <w:bCs/>
          <w:szCs w:val="32"/>
        </w:rPr>
        <w:t>8.2</w:t>
      </w:r>
      <w:r>
        <w:rPr>
          <w:rFonts w:hint="eastAsia" w:ascii="Times New Roman" w:hAnsi="Times New Roman"/>
          <w:bCs/>
          <w:szCs w:val="32"/>
        </w:rPr>
        <w:t>地下水</w:t>
      </w:r>
      <w:r>
        <w:rPr>
          <w:rFonts w:ascii="Times New Roman" w:hAnsi="Times New Roman"/>
          <w:bCs/>
          <w:szCs w:val="32"/>
        </w:rPr>
        <w:t>样品的采集、保存和运输</w:t>
      </w:r>
      <w:r>
        <w:tab/>
      </w:r>
      <w:r>
        <w:fldChar w:fldCharType="begin"/>
      </w:r>
      <w:r>
        <w:instrText xml:space="preserve"> PAGEREF _Toc1962 \h </w:instrText>
      </w:r>
      <w:r>
        <w:fldChar w:fldCharType="separate"/>
      </w:r>
      <w:r>
        <w:t>36</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_Toc29626 </w:instrText>
      </w:r>
      <w:r>
        <w:rPr>
          <w:rFonts w:ascii="宋体" w:hAnsi="宋体"/>
          <w:snapToGrid w:val="0"/>
          <w:kern w:val="0"/>
          <w:szCs w:val="24"/>
        </w:rPr>
        <w:fldChar w:fldCharType="separate"/>
      </w:r>
      <w:r>
        <w:rPr>
          <w:rFonts w:ascii="Times New Roman" w:hAnsi="Times New Roman"/>
          <w:bCs/>
          <w:szCs w:val="32"/>
        </w:rPr>
        <w:t>8.3质量控制与质量保证</w:t>
      </w:r>
      <w:r>
        <w:tab/>
      </w:r>
      <w:r>
        <w:fldChar w:fldCharType="begin"/>
      </w:r>
      <w:r>
        <w:instrText xml:space="preserve"> PAGEREF _Toc29626 \h </w:instrText>
      </w:r>
      <w:r>
        <w:fldChar w:fldCharType="separate"/>
      </w:r>
      <w:r>
        <w:t>37</w:t>
      </w:r>
      <w:r>
        <w:fldChar w:fldCharType="end"/>
      </w:r>
      <w:r>
        <w:rPr>
          <w:rFonts w:ascii="宋体" w:hAnsi="宋体"/>
          <w:snapToGrid w:val="0"/>
          <w:kern w:val="0"/>
          <w:szCs w:val="24"/>
        </w:rPr>
        <w:fldChar w:fldCharType="end"/>
      </w:r>
    </w:p>
    <w:p>
      <w:pPr>
        <w:pStyle w:val="13"/>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_Toc21598 </w:instrText>
      </w:r>
      <w:r>
        <w:rPr>
          <w:rFonts w:ascii="宋体" w:hAnsi="宋体"/>
          <w:snapToGrid w:val="0"/>
          <w:kern w:val="0"/>
          <w:szCs w:val="24"/>
        </w:rPr>
        <w:fldChar w:fldCharType="separate"/>
      </w:r>
      <w:r>
        <w:rPr>
          <w:rFonts w:hint="eastAsia" w:ascii="Times New Roman" w:hAnsi="Times New Roman"/>
          <w:bCs/>
          <w:kern w:val="44"/>
          <w:szCs w:val="44"/>
        </w:rPr>
        <w:t>9</w:t>
      </w:r>
      <w:r>
        <w:rPr>
          <w:rFonts w:ascii="Times New Roman" w:hAnsi="Times New Roman"/>
          <w:bCs/>
          <w:kern w:val="44"/>
          <w:szCs w:val="44"/>
        </w:rPr>
        <w:t xml:space="preserve"> </w:t>
      </w:r>
      <w:r>
        <w:rPr>
          <w:rFonts w:hint="eastAsia" w:ascii="Times New Roman" w:hAnsi="Times New Roman"/>
          <w:bCs/>
          <w:kern w:val="44"/>
          <w:szCs w:val="44"/>
        </w:rPr>
        <w:t>结果分析</w:t>
      </w:r>
      <w:r>
        <w:tab/>
      </w:r>
      <w:r>
        <w:fldChar w:fldCharType="begin"/>
      </w:r>
      <w:r>
        <w:instrText xml:space="preserve"> PAGEREF _Toc21598 \h </w:instrText>
      </w:r>
      <w:r>
        <w:fldChar w:fldCharType="separate"/>
      </w:r>
      <w:r>
        <w:t>40</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_Toc11111 </w:instrText>
      </w:r>
      <w:r>
        <w:rPr>
          <w:rFonts w:ascii="宋体" w:hAnsi="宋体"/>
          <w:snapToGrid w:val="0"/>
          <w:kern w:val="0"/>
          <w:szCs w:val="24"/>
        </w:rPr>
        <w:fldChar w:fldCharType="separate"/>
      </w:r>
      <w:r>
        <w:rPr>
          <w:rFonts w:hint="eastAsia" w:ascii="Times New Roman" w:hAnsi="Times New Roman"/>
          <w:bCs/>
          <w:szCs w:val="32"/>
        </w:rPr>
        <w:t>9.1结果分析原则</w:t>
      </w:r>
      <w:r>
        <w:tab/>
      </w:r>
      <w:r>
        <w:fldChar w:fldCharType="begin"/>
      </w:r>
      <w:r>
        <w:instrText xml:space="preserve"> PAGEREF _Toc11111 \h </w:instrText>
      </w:r>
      <w:r>
        <w:fldChar w:fldCharType="separate"/>
      </w:r>
      <w:r>
        <w:t>40</w:t>
      </w:r>
      <w:r>
        <w:fldChar w:fldCharType="end"/>
      </w:r>
      <w:r>
        <w:rPr>
          <w:rFonts w:ascii="宋体" w:hAnsi="宋体"/>
          <w:snapToGrid w:val="0"/>
          <w:kern w:val="0"/>
          <w:szCs w:val="24"/>
        </w:rPr>
        <w:fldChar w:fldCharType="end"/>
      </w:r>
    </w:p>
    <w:p>
      <w:pPr>
        <w:pStyle w:val="13"/>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_Toc17689 </w:instrText>
      </w:r>
      <w:r>
        <w:rPr>
          <w:rFonts w:ascii="宋体" w:hAnsi="宋体"/>
          <w:snapToGrid w:val="0"/>
          <w:kern w:val="0"/>
          <w:szCs w:val="24"/>
        </w:rPr>
        <w:fldChar w:fldCharType="separate"/>
      </w:r>
      <w:r>
        <w:rPr>
          <w:rFonts w:hint="eastAsia" w:ascii="Times New Roman" w:hAnsi="Times New Roman"/>
          <w:bCs/>
          <w:kern w:val="44"/>
          <w:szCs w:val="44"/>
          <w:lang w:val="en-US" w:eastAsia="zh-CN"/>
        </w:rPr>
        <w:t>10</w:t>
      </w:r>
      <w:r>
        <w:rPr>
          <w:rFonts w:hint="eastAsia" w:ascii="Times New Roman" w:hAnsi="Times New Roman"/>
          <w:bCs/>
          <w:kern w:val="44"/>
          <w:szCs w:val="44"/>
        </w:rPr>
        <w:t xml:space="preserve"> </w:t>
      </w:r>
      <w:r>
        <w:rPr>
          <w:rFonts w:hint="eastAsia" w:ascii="Times New Roman" w:hAnsi="Times New Roman"/>
          <w:bCs/>
          <w:kern w:val="44"/>
          <w:szCs w:val="44"/>
          <w:lang w:val="en-US" w:eastAsia="zh-CN"/>
        </w:rPr>
        <w:t>建议</w:t>
      </w:r>
      <w:r>
        <w:tab/>
      </w:r>
      <w:r>
        <w:fldChar w:fldCharType="begin"/>
      </w:r>
      <w:r>
        <w:instrText xml:space="preserve"> PAGEREF _Toc17689 \h </w:instrText>
      </w:r>
      <w:r>
        <w:fldChar w:fldCharType="separate"/>
      </w:r>
      <w:r>
        <w:t>41</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_Toc16017 </w:instrText>
      </w:r>
      <w:r>
        <w:rPr>
          <w:rFonts w:ascii="宋体" w:hAnsi="宋体"/>
          <w:snapToGrid w:val="0"/>
          <w:kern w:val="0"/>
          <w:szCs w:val="24"/>
        </w:rPr>
        <w:fldChar w:fldCharType="separate"/>
      </w:r>
      <w:r>
        <w:rPr>
          <w:rFonts w:hint="eastAsia" w:ascii="Times New Roman" w:hAnsi="Times New Roman"/>
          <w:bCs/>
          <w:szCs w:val="32"/>
          <w:lang w:val="en-US" w:eastAsia="zh-CN"/>
        </w:rPr>
        <w:t>10</w:t>
      </w:r>
      <w:r>
        <w:rPr>
          <w:rFonts w:hint="eastAsia" w:ascii="Times New Roman" w:hAnsi="Times New Roman"/>
          <w:bCs/>
          <w:szCs w:val="32"/>
        </w:rPr>
        <w:t>.1监测频次</w:t>
      </w:r>
      <w:r>
        <w:tab/>
      </w:r>
      <w:r>
        <w:fldChar w:fldCharType="begin"/>
      </w:r>
      <w:r>
        <w:instrText xml:space="preserve"> PAGEREF _Toc16017 \h </w:instrText>
      </w:r>
      <w:r>
        <w:fldChar w:fldCharType="separate"/>
      </w:r>
      <w:r>
        <w:t>41</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_Toc21940 </w:instrText>
      </w:r>
      <w:r>
        <w:rPr>
          <w:rFonts w:ascii="宋体" w:hAnsi="宋体"/>
          <w:snapToGrid w:val="0"/>
          <w:kern w:val="0"/>
          <w:szCs w:val="24"/>
        </w:rPr>
        <w:fldChar w:fldCharType="separate"/>
      </w:r>
      <w:r>
        <w:rPr>
          <w:rFonts w:hint="eastAsia" w:ascii="Times New Roman" w:hAnsi="Times New Roman"/>
          <w:bCs/>
          <w:szCs w:val="32"/>
          <w:lang w:val="en-US" w:eastAsia="zh-CN"/>
        </w:rPr>
        <w:t>10</w:t>
      </w:r>
      <w:r>
        <w:rPr>
          <w:rFonts w:hint="eastAsia" w:ascii="Times New Roman" w:hAnsi="Times New Roman"/>
          <w:bCs/>
          <w:szCs w:val="32"/>
        </w:rPr>
        <w:t>.2监测井归档资料</w:t>
      </w:r>
      <w:r>
        <w:tab/>
      </w:r>
      <w:r>
        <w:fldChar w:fldCharType="begin"/>
      </w:r>
      <w:r>
        <w:instrText xml:space="preserve"> PAGEREF _Toc21940 \h </w:instrText>
      </w:r>
      <w:r>
        <w:fldChar w:fldCharType="separate"/>
      </w:r>
      <w:r>
        <w:t>41</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_Toc16408 </w:instrText>
      </w:r>
      <w:r>
        <w:rPr>
          <w:rFonts w:ascii="宋体" w:hAnsi="宋体"/>
          <w:snapToGrid w:val="0"/>
          <w:kern w:val="0"/>
          <w:szCs w:val="24"/>
        </w:rPr>
        <w:fldChar w:fldCharType="separate"/>
      </w:r>
      <w:r>
        <w:rPr>
          <w:rFonts w:hint="eastAsia" w:ascii="Times New Roman" w:hAnsi="Times New Roman"/>
          <w:bCs/>
          <w:szCs w:val="32"/>
          <w:lang w:val="en-US" w:eastAsia="zh-CN"/>
        </w:rPr>
        <w:t>10</w:t>
      </w:r>
      <w:r>
        <w:rPr>
          <w:rFonts w:hint="eastAsia" w:ascii="Times New Roman" w:hAnsi="Times New Roman"/>
          <w:bCs/>
          <w:szCs w:val="32"/>
        </w:rPr>
        <w:t>.3监测设施维护</w:t>
      </w:r>
      <w:r>
        <w:tab/>
      </w:r>
      <w:r>
        <w:fldChar w:fldCharType="begin"/>
      </w:r>
      <w:r>
        <w:instrText xml:space="preserve"> PAGEREF _Toc16408 \h </w:instrText>
      </w:r>
      <w:r>
        <w:fldChar w:fldCharType="separate"/>
      </w:r>
      <w:r>
        <w:t>41</w:t>
      </w:r>
      <w:r>
        <w:fldChar w:fldCharType="end"/>
      </w:r>
      <w:r>
        <w:rPr>
          <w:rFonts w:ascii="宋体" w:hAnsi="宋体"/>
          <w:snapToGrid w:val="0"/>
          <w:kern w:val="0"/>
          <w:szCs w:val="24"/>
        </w:rPr>
        <w:fldChar w:fldCharType="end"/>
      </w:r>
    </w:p>
    <w:p>
      <w:pPr>
        <w:pStyle w:val="15"/>
        <w:tabs>
          <w:tab w:val="right" w:leader="dot" w:pos="8306"/>
          <w:tab w:val="clear" w:pos="8296"/>
        </w:tabs>
      </w:pPr>
      <w:r>
        <w:rPr>
          <w:rFonts w:ascii="宋体" w:hAnsi="宋体"/>
          <w:snapToGrid w:val="0"/>
          <w:kern w:val="0"/>
          <w:szCs w:val="24"/>
        </w:rPr>
        <w:fldChar w:fldCharType="begin"/>
      </w:r>
      <w:r>
        <w:rPr>
          <w:rFonts w:ascii="宋体" w:hAnsi="宋体"/>
          <w:snapToGrid w:val="0"/>
          <w:kern w:val="0"/>
          <w:szCs w:val="24"/>
        </w:rPr>
        <w:instrText xml:space="preserve"> HYPERLINK \l _Toc567 </w:instrText>
      </w:r>
      <w:r>
        <w:rPr>
          <w:rFonts w:ascii="宋体" w:hAnsi="宋体"/>
          <w:snapToGrid w:val="0"/>
          <w:kern w:val="0"/>
          <w:szCs w:val="24"/>
        </w:rPr>
        <w:fldChar w:fldCharType="separate"/>
      </w:r>
      <w:r>
        <w:rPr>
          <w:rFonts w:hint="eastAsia" w:ascii="Times New Roman" w:hAnsi="Times New Roman"/>
          <w:bCs/>
          <w:szCs w:val="32"/>
          <w:lang w:val="en-US" w:eastAsia="zh-CN"/>
        </w:rPr>
        <w:t>10</w:t>
      </w:r>
      <w:r>
        <w:rPr>
          <w:rFonts w:hint="eastAsia" w:ascii="Times New Roman" w:hAnsi="Times New Roman"/>
          <w:bCs/>
          <w:szCs w:val="32"/>
        </w:rPr>
        <w:t>.4监测方案动态更新</w:t>
      </w:r>
      <w:r>
        <w:tab/>
      </w:r>
      <w:r>
        <w:fldChar w:fldCharType="begin"/>
      </w:r>
      <w:r>
        <w:instrText xml:space="preserve"> PAGEREF _Toc567 \h </w:instrText>
      </w:r>
      <w:r>
        <w:fldChar w:fldCharType="separate"/>
      </w:r>
      <w:r>
        <w:t>42</w:t>
      </w:r>
      <w:r>
        <w:fldChar w:fldCharType="end"/>
      </w:r>
      <w:r>
        <w:rPr>
          <w:rFonts w:ascii="宋体" w:hAnsi="宋体"/>
          <w:snapToGrid w:val="0"/>
          <w:kern w:val="0"/>
          <w:szCs w:val="24"/>
        </w:rPr>
        <w:fldChar w:fldCharType="end"/>
      </w:r>
    </w:p>
    <w:p>
      <w:pPr>
        <w:pStyle w:val="13"/>
        <w:tabs>
          <w:tab w:val="right" w:leader="dot" w:pos="8306"/>
          <w:tab w:val="clear" w:pos="8296"/>
        </w:tabs>
      </w:pPr>
    </w:p>
    <w:p>
      <w:pPr>
        <w:rPr>
          <w:rFonts w:ascii="Times New Roman" w:hAnsi="Times New Roman"/>
          <w:b/>
          <w:snapToGrid w:val="0"/>
          <w:kern w:val="0"/>
          <w:sz w:val="32"/>
          <w:szCs w:val="32"/>
        </w:rPr>
        <w:sectPr>
          <w:headerReference r:id="rId4" w:type="default"/>
          <w:pgSz w:w="11906" w:h="16838"/>
          <w:pgMar w:top="1440" w:right="1800" w:bottom="1440" w:left="1800" w:header="851" w:footer="992" w:gutter="0"/>
          <w:cols w:space="425" w:num="1"/>
          <w:docGrid w:type="lines" w:linePitch="312" w:charSpace="0"/>
        </w:sectPr>
      </w:pPr>
      <w:r>
        <w:rPr>
          <w:rFonts w:ascii="宋体" w:hAnsi="宋体"/>
          <w:snapToGrid w:val="0"/>
          <w:kern w:val="0"/>
          <w:szCs w:val="24"/>
        </w:rPr>
        <w:fldChar w:fldCharType="end"/>
      </w:r>
    </w:p>
    <w:p>
      <w:pPr>
        <w:keepNext/>
        <w:keepLines/>
        <w:spacing w:line="500" w:lineRule="exact"/>
        <w:outlineLvl w:val="0"/>
        <w:rPr>
          <w:rFonts w:ascii="Times New Roman" w:hAnsi="Times New Roman"/>
          <w:b/>
          <w:bCs/>
          <w:kern w:val="44"/>
          <w:sz w:val="36"/>
          <w:szCs w:val="44"/>
        </w:rPr>
      </w:pPr>
      <w:bookmarkStart w:id="2" w:name="_Toc534203153"/>
      <w:bookmarkStart w:id="3" w:name="_Toc526777459"/>
      <w:bookmarkStart w:id="4" w:name="_Toc526759768"/>
      <w:bookmarkStart w:id="5" w:name="_Toc527286745"/>
      <w:bookmarkStart w:id="6" w:name="_Toc526777129"/>
      <w:bookmarkStart w:id="7" w:name="_Toc525808629"/>
      <w:bookmarkStart w:id="8" w:name="_Toc531519912"/>
      <w:bookmarkStart w:id="9" w:name="_Toc13847352"/>
      <w:bookmarkStart w:id="10" w:name="_Toc4969"/>
      <w:r>
        <w:rPr>
          <w:rFonts w:ascii="Times New Roman" w:hAnsi="Times New Roman"/>
          <w:b/>
          <w:bCs/>
          <w:kern w:val="44"/>
          <w:sz w:val="36"/>
          <w:szCs w:val="44"/>
        </w:rPr>
        <w:t>1 项目概述</w:t>
      </w:r>
      <w:bookmarkEnd w:id="2"/>
      <w:bookmarkEnd w:id="3"/>
      <w:bookmarkEnd w:id="4"/>
      <w:bookmarkEnd w:id="5"/>
      <w:bookmarkEnd w:id="6"/>
      <w:bookmarkEnd w:id="7"/>
      <w:bookmarkEnd w:id="8"/>
      <w:bookmarkEnd w:id="9"/>
      <w:bookmarkEnd w:id="10"/>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11" w:name="_Toc526777460"/>
      <w:bookmarkStart w:id="12" w:name="_Toc531519913"/>
      <w:bookmarkStart w:id="13" w:name="_Toc526759769"/>
      <w:bookmarkStart w:id="14" w:name="_Toc527286746"/>
      <w:bookmarkStart w:id="15" w:name="_Toc525808630"/>
      <w:bookmarkStart w:id="16" w:name="_Toc526777130"/>
      <w:bookmarkStart w:id="17" w:name="_Toc534203154"/>
      <w:bookmarkStart w:id="18" w:name="_Toc13847353"/>
      <w:bookmarkStart w:id="19" w:name="_Toc259"/>
      <w:r>
        <w:rPr>
          <w:rFonts w:ascii="Times New Roman" w:hAnsi="Times New Roman"/>
          <w:b/>
          <w:bCs/>
          <w:sz w:val="28"/>
          <w:szCs w:val="32"/>
        </w:rPr>
        <w:t>1.1项目背景</w:t>
      </w:r>
      <w:bookmarkEnd w:id="11"/>
      <w:bookmarkEnd w:id="12"/>
      <w:bookmarkEnd w:id="13"/>
      <w:bookmarkEnd w:id="14"/>
      <w:bookmarkEnd w:id="15"/>
      <w:bookmarkEnd w:id="16"/>
      <w:bookmarkEnd w:id="17"/>
      <w:bookmarkEnd w:id="18"/>
      <w:bookmarkEnd w:id="19"/>
    </w:p>
    <w:p>
      <w:pPr>
        <w:widowControl/>
        <w:spacing w:line="500" w:lineRule="exact"/>
        <w:ind w:firstLine="420"/>
        <w:rPr>
          <w:rFonts w:ascii="Times New Roman" w:hAnsi="Times New Roman"/>
          <w:sz w:val="24"/>
          <w:szCs w:val="24"/>
        </w:rPr>
      </w:pPr>
      <w:r>
        <w:rPr>
          <w:rFonts w:ascii="Times New Roman" w:hAnsi="Times New Roman"/>
          <w:sz w:val="24"/>
          <w:szCs w:val="24"/>
        </w:rPr>
        <w:t>为切实加强土壤污染防治，逐步改善土壤环境质量，国务院制定发布了《土壤污染防治行动计划》（国发〔2016〕31号），简称“土十条”。“土十条”中指出针对我过现阶段的</w:t>
      </w:r>
      <w:r>
        <w:rPr>
          <w:rFonts w:hint="eastAsia" w:ascii="Times New Roman" w:hAnsi="Times New Roman"/>
          <w:sz w:val="24"/>
          <w:szCs w:val="24"/>
        </w:rPr>
        <w:t>土壤</w:t>
      </w:r>
      <w:r>
        <w:rPr>
          <w:rFonts w:ascii="Times New Roman" w:hAnsi="Times New Roman"/>
          <w:sz w:val="24"/>
          <w:szCs w:val="24"/>
        </w:rPr>
        <w:t>污染状况，应当“强化未污染土壤保护，严控新增土壤污染。”其中，为“防范建设用地新增污染”，</w:t>
      </w:r>
      <w:r>
        <w:rPr>
          <w:rFonts w:hint="eastAsia" w:ascii="Times New Roman" w:hAnsi="Times New Roman"/>
          <w:sz w:val="24"/>
          <w:szCs w:val="24"/>
        </w:rPr>
        <w:t>应当</w:t>
      </w:r>
      <w:r>
        <w:rPr>
          <w:rFonts w:ascii="Times New Roman" w:hAnsi="Times New Roman"/>
          <w:sz w:val="24"/>
          <w:szCs w:val="24"/>
        </w:rPr>
        <w:t>“自2017年起，有关地方人民政府要与重点行业企业签订土壤污染防治责任书，明确相关措施和责任，责任书向社会公开。”</w:t>
      </w:r>
      <w:r>
        <w:rPr>
          <w:rFonts w:hint="eastAsia" w:ascii="Times New Roman" w:hAnsi="Times New Roman"/>
          <w:sz w:val="24"/>
          <w:szCs w:val="24"/>
        </w:rPr>
        <w:t>并且</w:t>
      </w:r>
      <w:r>
        <w:rPr>
          <w:rFonts w:ascii="Times New Roman" w:hAnsi="Times New Roman"/>
          <w:sz w:val="24"/>
          <w:szCs w:val="24"/>
        </w:rPr>
        <w:t>“加强日常环境监管。各地要根</w:t>
      </w:r>
      <w:bookmarkStart w:id="201" w:name="_GoBack"/>
      <w:bookmarkEnd w:id="201"/>
      <w:r>
        <w:rPr>
          <w:rFonts w:ascii="Times New Roman" w:hAnsi="Times New Roman"/>
          <w:sz w:val="24"/>
          <w:szCs w:val="24"/>
        </w:rPr>
        <w:t>据工矿企业分布和污染排放情况，确定土壤环境重点监管企业名单，实行动态更新，并向社会公布。列入名单的企业每年要自行对其用地进行土壤环境监测，结果向社会公开。有关环境保护部门要定期对重点监管企业和工业园区周边开展监测，数据及时上传全国土壤环境信息化管理平台，结果作为环境执法和风险预警的重要依据。”</w:t>
      </w:r>
    </w:p>
    <w:p>
      <w:pPr>
        <w:widowControl/>
        <w:spacing w:line="500" w:lineRule="exact"/>
        <w:ind w:firstLine="420"/>
        <w:rPr>
          <w:rFonts w:ascii="Times New Roman" w:hAnsi="Times New Roman"/>
          <w:snapToGrid w:val="0"/>
          <w:kern w:val="0"/>
          <w:sz w:val="24"/>
          <w:szCs w:val="24"/>
        </w:rPr>
      </w:pPr>
      <w:r>
        <w:rPr>
          <w:rFonts w:ascii="Times New Roman" w:hAnsi="Times New Roman"/>
          <w:sz w:val="24"/>
          <w:szCs w:val="24"/>
        </w:rPr>
        <w:t>在此背景下，江苏省政府发布了《江苏省土壤污染防治工作方案》（苏政发〔2016〕169号），</w:t>
      </w:r>
      <w:bookmarkStart w:id="20" w:name="_Hlk529264465"/>
      <w:r>
        <w:rPr>
          <w:rFonts w:ascii="Times New Roman" w:hAnsi="Times New Roman"/>
          <w:sz w:val="24"/>
          <w:szCs w:val="24"/>
        </w:rPr>
        <w:t>以下简称为“江苏省土十条”</w:t>
      </w:r>
      <w:bookmarkEnd w:id="20"/>
      <w:r>
        <w:rPr>
          <w:rFonts w:ascii="Times New Roman" w:hAnsi="Times New Roman"/>
          <w:sz w:val="24"/>
          <w:szCs w:val="24"/>
        </w:rPr>
        <w:t>。其中，“江苏省土十条”在第</w:t>
      </w:r>
      <w:r>
        <w:rPr>
          <w:rFonts w:hint="eastAsia" w:ascii="Times New Roman" w:hAnsi="Times New Roman"/>
          <w:sz w:val="24"/>
          <w:szCs w:val="24"/>
        </w:rPr>
        <w:t>三</w:t>
      </w:r>
      <w:r>
        <w:rPr>
          <w:rFonts w:ascii="Times New Roman" w:hAnsi="Times New Roman"/>
          <w:sz w:val="24"/>
          <w:szCs w:val="24"/>
        </w:rPr>
        <w:t>条第</w:t>
      </w:r>
      <w:r>
        <w:rPr>
          <w:rFonts w:hint="eastAsia" w:ascii="Times New Roman" w:hAnsi="Times New Roman"/>
          <w:sz w:val="24"/>
          <w:szCs w:val="24"/>
        </w:rPr>
        <w:t>八</w:t>
      </w:r>
      <w:r>
        <w:rPr>
          <w:rFonts w:ascii="Times New Roman" w:hAnsi="Times New Roman"/>
          <w:sz w:val="24"/>
          <w:szCs w:val="24"/>
        </w:rPr>
        <w:t>款中指出“</w:t>
      </w:r>
      <w:r>
        <w:rPr>
          <w:rFonts w:hint="eastAsia" w:ascii="Times New Roman" w:hAnsi="Times New Roman"/>
          <w:sz w:val="24"/>
          <w:szCs w:val="24"/>
        </w:rPr>
        <w:t>严控工矿污染。加强日常环境监管。落实属地管理责任，各地要根据工矿企业分布、污染排放情况，确定土壤环境重点监管企业名单，实行动态更新，并向社会公布。</w:t>
      </w:r>
      <w:r>
        <w:rPr>
          <w:rFonts w:hint="default" w:ascii="Times New Roman" w:hAnsi="Times New Roman"/>
          <w:sz w:val="24"/>
          <w:szCs w:val="24"/>
          <w:lang w:val="en-US" w:eastAsia="zh-CN"/>
        </w:rPr>
        <w:t>依据苏州市张家港生态环境局下发的《2021年重点排污单位名录》与《苏州市土壤污染防治工作方案》，江苏奥斯佳材料科技有限公司为2021年度新增企业</w:t>
      </w:r>
      <w:r>
        <w:rPr>
          <w:rFonts w:hint="eastAsia" w:ascii="Times New Roman" w:hAnsi="Times New Roman"/>
          <w:sz w:val="24"/>
          <w:szCs w:val="24"/>
          <w:lang w:val="en-US" w:eastAsia="zh-CN"/>
        </w:rPr>
        <w:t>，</w:t>
      </w:r>
      <w:r>
        <w:rPr>
          <w:rFonts w:hint="eastAsia" w:ascii="Times New Roman" w:hAnsi="Times New Roman"/>
          <w:sz w:val="24"/>
          <w:szCs w:val="24"/>
        </w:rPr>
        <w:t>要求企业针对土壤和地下水开展隐患排查和自行监测工作。</w:t>
      </w:r>
    </w:p>
    <w:p>
      <w:pPr>
        <w:widowControl/>
        <w:spacing w:line="500" w:lineRule="exact"/>
        <w:ind w:firstLine="420"/>
        <w:rPr>
          <w:rFonts w:hint="eastAsia" w:ascii="Times New Roman" w:hAnsi="Times New Roman" w:eastAsia="宋体" w:cs="Times New Roman"/>
          <w:snapToGrid w:val="0"/>
          <w:kern w:val="0"/>
          <w:sz w:val="24"/>
          <w:szCs w:val="24"/>
          <w:lang w:eastAsia="zh-CN"/>
        </w:rPr>
      </w:pPr>
      <w:r>
        <w:rPr>
          <w:rFonts w:hint="eastAsia" w:ascii="Times New Roman" w:hAnsi="Times New Roman" w:eastAsia="宋体" w:cs="Times New Roman"/>
          <w:snapToGrid w:val="0"/>
          <w:kern w:val="0"/>
          <w:sz w:val="24"/>
          <w:szCs w:val="24"/>
          <w:lang w:eastAsia="zh-CN"/>
        </w:rPr>
        <w:t>20</w:t>
      </w:r>
      <w:r>
        <w:rPr>
          <w:rFonts w:hint="eastAsia" w:ascii="Times New Roman" w:hAnsi="Times New Roman" w:eastAsia="宋体" w:cs="Times New Roman"/>
          <w:snapToGrid w:val="0"/>
          <w:kern w:val="0"/>
          <w:sz w:val="24"/>
          <w:szCs w:val="24"/>
          <w:lang w:val="en-US" w:eastAsia="zh-CN"/>
        </w:rPr>
        <w:t>2</w:t>
      </w:r>
      <w:r>
        <w:rPr>
          <w:rFonts w:hint="eastAsia" w:ascii="Times New Roman" w:hAnsi="Times New Roman" w:cs="Times New Roman"/>
          <w:snapToGrid w:val="0"/>
          <w:kern w:val="0"/>
          <w:sz w:val="24"/>
          <w:szCs w:val="24"/>
          <w:lang w:val="en-US" w:eastAsia="zh-CN"/>
        </w:rPr>
        <w:t>1</w:t>
      </w:r>
      <w:r>
        <w:rPr>
          <w:rFonts w:hint="eastAsia" w:ascii="Times New Roman" w:hAnsi="Times New Roman" w:eastAsia="宋体" w:cs="Times New Roman"/>
          <w:snapToGrid w:val="0"/>
          <w:kern w:val="0"/>
          <w:sz w:val="24"/>
          <w:szCs w:val="24"/>
          <w:lang w:eastAsia="zh-CN"/>
        </w:rPr>
        <w:t>年</w:t>
      </w:r>
      <w:r>
        <w:rPr>
          <w:rFonts w:hint="eastAsia" w:ascii="Times New Roman" w:hAnsi="Times New Roman" w:cs="Times New Roman"/>
          <w:snapToGrid w:val="0"/>
          <w:kern w:val="0"/>
          <w:sz w:val="24"/>
          <w:szCs w:val="24"/>
          <w:lang w:val="en-US" w:eastAsia="zh-CN"/>
        </w:rPr>
        <w:t>5</w:t>
      </w:r>
      <w:r>
        <w:rPr>
          <w:rFonts w:hint="eastAsia" w:ascii="Times New Roman" w:hAnsi="Times New Roman" w:eastAsia="宋体" w:cs="Times New Roman"/>
          <w:snapToGrid w:val="0"/>
          <w:kern w:val="0"/>
          <w:sz w:val="24"/>
          <w:szCs w:val="24"/>
          <w:lang w:eastAsia="zh-CN"/>
        </w:rPr>
        <w:t>月，</w:t>
      </w:r>
      <w:r>
        <w:rPr>
          <w:rFonts w:hint="eastAsia" w:ascii="Times New Roman" w:hAnsi="Times New Roman" w:cs="Times New Roman"/>
          <w:snapToGrid w:val="0"/>
          <w:kern w:val="0"/>
          <w:sz w:val="24"/>
          <w:szCs w:val="24"/>
          <w:lang w:eastAsia="zh-CN"/>
        </w:rPr>
        <w:t>江苏奥斯佳材料科技有限公司</w:t>
      </w:r>
      <w:r>
        <w:rPr>
          <w:rFonts w:hint="eastAsia" w:ascii="Times New Roman" w:hAnsi="Times New Roman" w:eastAsia="宋体" w:cs="Times New Roman"/>
          <w:snapToGrid w:val="0"/>
          <w:kern w:val="0"/>
          <w:sz w:val="24"/>
          <w:szCs w:val="24"/>
          <w:lang w:eastAsia="zh-CN"/>
        </w:rPr>
        <w:t>按照《在产企业土壤及地下水自行监测技术指南》（征求意见稿）的要求编制本方案。</w:t>
      </w:r>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21" w:name="_Toc13847354"/>
      <w:bookmarkStart w:id="22" w:name="_Toc534203155"/>
      <w:bookmarkStart w:id="23" w:name="_Toc531519914"/>
      <w:bookmarkStart w:id="24" w:name="_Toc5010"/>
      <w:r>
        <w:rPr>
          <w:rFonts w:ascii="Times New Roman" w:hAnsi="Times New Roman"/>
          <w:b/>
          <w:bCs/>
          <w:sz w:val="28"/>
          <w:szCs w:val="32"/>
        </w:rPr>
        <w:t>1.</w:t>
      </w:r>
      <w:r>
        <w:rPr>
          <w:rFonts w:hint="eastAsia" w:ascii="Times New Roman" w:hAnsi="Times New Roman"/>
          <w:b/>
          <w:bCs/>
          <w:sz w:val="28"/>
          <w:szCs w:val="32"/>
        </w:rPr>
        <w:t>2企业简介</w:t>
      </w:r>
      <w:bookmarkEnd w:id="21"/>
      <w:bookmarkEnd w:id="22"/>
      <w:bookmarkEnd w:id="23"/>
      <w:bookmarkEnd w:id="24"/>
    </w:p>
    <w:p>
      <w:pPr>
        <w:widowControl/>
        <w:spacing w:line="500" w:lineRule="exact"/>
        <w:ind w:firstLine="420"/>
        <w:rPr>
          <w:rFonts w:hint="default" w:ascii="Times New Roman" w:hAnsi="Times New Roman"/>
          <w:sz w:val="24"/>
          <w:szCs w:val="24"/>
          <w:lang w:val="en-US" w:eastAsia="zh-CN"/>
        </w:rPr>
      </w:pPr>
      <w:r>
        <w:rPr>
          <w:rFonts w:hint="default" w:ascii="Times New Roman" w:hAnsi="Times New Roman"/>
          <w:sz w:val="24"/>
          <w:szCs w:val="24"/>
          <w:lang w:val="en-US" w:eastAsia="zh-CN"/>
        </w:rPr>
        <w:t>江苏奥斯佳材料科技有限公司创办于2013年3月21日，是一家研发和销售有机硅、水性聚氨酯、胶黏剂的企业。公司现有员工约50人，年工作时间300天，四班二运转，每班8小时。</w:t>
      </w:r>
    </w:p>
    <w:p>
      <w:pPr>
        <w:widowControl/>
        <w:spacing w:line="500" w:lineRule="exact"/>
        <w:ind w:firstLine="420"/>
      </w:pPr>
      <w:r>
        <w:rPr>
          <w:rFonts w:hint="default" w:ascii="Times New Roman" w:hAnsi="Times New Roman"/>
          <w:sz w:val="24"/>
          <w:szCs w:val="24"/>
          <w:lang w:val="en-US" w:eastAsia="zh-CN"/>
        </w:rPr>
        <w:t>江苏奥斯佳材料科技有限公司于2017年在江苏省扬子江国际化学工业园投资30000万人民币，新建年产18010吨聚氨酯用特种材料（18000吨聚氨酯用特种硅油、10吨聚氨酯用其他助剂）及2000吨水性胶黏剂项目</w:t>
      </w:r>
      <w:r>
        <w:rPr>
          <w:rFonts w:hint="eastAsia" w:ascii="Times New Roman" w:hAnsi="Times New Roman"/>
          <w:sz w:val="24"/>
          <w:szCs w:val="24"/>
          <w:lang w:val="en-US" w:eastAsia="zh-CN"/>
        </w:rPr>
        <w:t>，</w:t>
      </w:r>
      <w:r>
        <w:rPr>
          <w:rFonts w:hint="default" w:ascii="Times New Roman" w:hAnsi="Times New Roman"/>
          <w:sz w:val="24"/>
          <w:szCs w:val="24"/>
          <w:lang w:val="en-US" w:eastAsia="zh-CN"/>
        </w:rPr>
        <w:t>目前企业仅建成年产6000吨聚氨酯用特种硅油，并进入试生产阶段，其余项目正在筹建中。</w:t>
      </w:r>
    </w:p>
    <w:p>
      <w:pPr>
        <w:widowControl/>
        <w:jc w:val="left"/>
        <w:rPr>
          <w:rFonts w:ascii="Times New Roman" w:hAnsi="Times New Roman"/>
          <w:snapToGrid w:val="0"/>
          <w:kern w:val="0"/>
          <w:sz w:val="32"/>
          <w:szCs w:val="32"/>
        </w:rPr>
      </w:pPr>
    </w:p>
    <w:p>
      <w:pPr>
        <w:widowControl/>
        <w:jc w:val="left"/>
        <w:rPr>
          <w:rFonts w:ascii="Times New Roman" w:hAnsi="Times New Roman"/>
          <w:snapToGrid w:val="0"/>
          <w:kern w:val="0"/>
          <w:sz w:val="32"/>
          <w:szCs w:val="32"/>
        </w:rPr>
        <w:sectPr>
          <w:footerReference r:id="rId5" w:type="default"/>
          <w:pgSz w:w="11906" w:h="16838"/>
          <w:pgMar w:top="1440" w:right="1800" w:bottom="1440" w:left="1800" w:header="851" w:footer="992" w:gutter="0"/>
          <w:pgNumType w:start="1"/>
          <w:cols w:space="425" w:num="1"/>
          <w:docGrid w:type="lines" w:linePitch="312" w:charSpace="0"/>
        </w:sectPr>
      </w:pPr>
    </w:p>
    <w:p>
      <w:pPr>
        <w:keepNext/>
        <w:keepLines/>
        <w:spacing w:line="500" w:lineRule="exact"/>
        <w:outlineLvl w:val="0"/>
        <w:rPr>
          <w:rFonts w:ascii="Times New Roman" w:hAnsi="Times New Roman"/>
          <w:b/>
          <w:bCs/>
          <w:kern w:val="44"/>
          <w:sz w:val="36"/>
          <w:szCs w:val="44"/>
        </w:rPr>
      </w:pPr>
      <w:bookmarkStart w:id="25" w:name="_Toc13847355"/>
      <w:bookmarkStart w:id="26" w:name="_Toc531519915"/>
      <w:bookmarkStart w:id="27" w:name="_Toc534203156"/>
      <w:bookmarkStart w:id="28" w:name="_Toc20160"/>
      <w:r>
        <w:rPr>
          <w:rFonts w:hint="eastAsia" w:ascii="Times New Roman" w:hAnsi="Times New Roman"/>
          <w:b/>
          <w:bCs/>
          <w:kern w:val="44"/>
          <w:sz w:val="36"/>
          <w:szCs w:val="44"/>
        </w:rPr>
        <w:t>2</w:t>
      </w:r>
      <w:r>
        <w:rPr>
          <w:rFonts w:ascii="Times New Roman" w:hAnsi="Times New Roman"/>
          <w:b/>
          <w:bCs/>
          <w:kern w:val="44"/>
          <w:sz w:val="36"/>
          <w:szCs w:val="44"/>
        </w:rPr>
        <w:t xml:space="preserve"> </w:t>
      </w:r>
      <w:r>
        <w:rPr>
          <w:rFonts w:hint="eastAsia" w:ascii="Times New Roman" w:hAnsi="Times New Roman"/>
          <w:b/>
          <w:bCs/>
          <w:kern w:val="44"/>
          <w:sz w:val="36"/>
          <w:szCs w:val="44"/>
        </w:rPr>
        <w:t>编制依据</w:t>
      </w:r>
      <w:bookmarkEnd w:id="25"/>
      <w:bookmarkEnd w:id="26"/>
      <w:bookmarkEnd w:id="27"/>
      <w:bookmarkEnd w:id="28"/>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29" w:name="_Toc534203157"/>
      <w:bookmarkStart w:id="30" w:name="_Toc13847356"/>
      <w:bookmarkStart w:id="31" w:name="_Toc531519916"/>
      <w:bookmarkStart w:id="32" w:name="_Toc30167"/>
      <w:r>
        <w:rPr>
          <w:rFonts w:hint="eastAsia" w:ascii="Times New Roman" w:hAnsi="Times New Roman"/>
          <w:b/>
          <w:bCs/>
          <w:sz w:val="28"/>
          <w:szCs w:val="32"/>
        </w:rPr>
        <w:t>2</w:t>
      </w:r>
      <w:r>
        <w:rPr>
          <w:rFonts w:ascii="Times New Roman" w:hAnsi="Times New Roman"/>
          <w:b/>
          <w:bCs/>
          <w:sz w:val="28"/>
          <w:szCs w:val="32"/>
        </w:rPr>
        <w:t>.1</w:t>
      </w:r>
      <w:r>
        <w:rPr>
          <w:rFonts w:hint="eastAsia" w:ascii="Times New Roman" w:hAnsi="Times New Roman"/>
          <w:b/>
          <w:bCs/>
          <w:sz w:val="28"/>
          <w:szCs w:val="32"/>
        </w:rPr>
        <w:t>相关法律、法规及政策</w:t>
      </w:r>
      <w:bookmarkEnd w:id="29"/>
      <w:bookmarkEnd w:id="30"/>
      <w:bookmarkEnd w:id="31"/>
      <w:bookmarkEnd w:id="32"/>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（1）《中华人民共和国环境保护法》，2014年4月24日修订通过，2015年1月1日起施行；</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（2）《中华人民共和国土壤污染防治法》2018年8月31日修订通过，自2019年1月1日起试行；</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（3）《中华人民共和国大气污染防治法》，2015年8月29日修订通过，自2016年1月1日起施行；</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（4）《中华人民共和国水污染防治法》，2017年6月27日修订通过，2008年6月1日起施行；</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（5）《中华人民共和国固体废物污染环境防治法》，2016年11月7日修订通过，2005年4月1日起施行；</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（6）《污染地块土壤环境管理办法（试行）》（环境保护部令 第42号）；</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（7）《工矿用地土壤环境管理办法（试行）》（生态环境部令 第3号）；</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（8） 《国务院关于印发土壤污染防治行动计划的通知》（国发〔2016〕31号）；</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（9）《江苏省土壤污染防治工作方案》（苏政发〔2016〕169号）；</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（10）《苏州市土壤污染防治工作方案》（苏府〔2017〕102号）；</w:t>
      </w:r>
    </w:p>
    <w:p>
      <w:pPr>
        <w:widowControl/>
        <w:spacing w:line="500" w:lineRule="exact"/>
        <w:ind w:firstLine="480" w:firstLineChars="200"/>
        <w:rPr>
          <w:rFonts w:ascii="Times New Roman" w:hAnsi="Times New Roman"/>
          <w:sz w:val="24"/>
          <w:szCs w:val="24"/>
        </w:rPr>
      </w:pPr>
      <w:r>
        <w:rPr>
          <w:rFonts w:hint="eastAsia" w:ascii="Times New Roman" w:hAnsi="Times New Roman"/>
          <w:sz w:val="24"/>
          <w:szCs w:val="24"/>
        </w:rPr>
        <w:t>（11）《张家港市土壤污染防治工作方案》（张政发〔2017〕106号）；</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（12）《关于公布江苏省土壤环境重点监管企业（第一批）的通知》（苏环办〔2017〕373号）。</w:t>
      </w:r>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33" w:name="_Toc531519917"/>
      <w:bookmarkStart w:id="34" w:name="_Toc534203158"/>
      <w:bookmarkStart w:id="35" w:name="_Toc13847357"/>
      <w:bookmarkStart w:id="36" w:name="_Toc8991"/>
      <w:r>
        <w:rPr>
          <w:rFonts w:hint="eastAsia" w:ascii="Times New Roman" w:hAnsi="Times New Roman"/>
          <w:b/>
          <w:bCs/>
          <w:sz w:val="28"/>
          <w:szCs w:val="32"/>
        </w:rPr>
        <w:t>2</w:t>
      </w:r>
      <w:r>
        <w:rPr>
          <w:rFonts w:ascii="Times New Roman" w:hAnsi="Times New Roman"/>
          <w:b/>
          <w:bCs/>
          <w:sz w:val="28"/>
          <w:szCs w:val="32"/>
        </w:rPr>
        <w:t>.</w:t>
      </w:r>
      <w:r>
        <w:rPr>
          <w:rFonts w:hint="eastAsia" w:ascii="Times New Roman" w:hAnsi="Times New Roman"/>
          <w:b/>
          <w:bCs/>
          <w:sz w:val="28"/>
          <w:szCs w:val="32"/>
        </w:rPr>
        <w:t>2相关技术导则、规范及指南</w:t>
      </w:r>
      <w:bookmarkEnd w:id="33"/>
      <w:bookmarkEnd w:id="34"/>
      <w:bookmarkEnd w:id="35"/>
      <w:bookmarkEnd w:id="36"/>
    </w:p>
    <w:p>
      <w:pPr>
        <w:widowControl/>
        <w:spacing w:line="500" w:lineRule="exact"/>
        <w:ind w:firstLine="480" w:firstLineChars="200"/>
        <w:rPr>
          <w:rFonts w:ascii="Times New Roman" w:hAnsi="Times New Roman"/>
          <w:snapToGrid w:val="0"/>
          <w:kern w:val="0"/>
          <w:sz w:val="24"/>
          <w:szCs w:val="24"/>
        </w:rPr>
      </w:pPr>
      <w:bookmarkStart w:id="37" w:name="_Hlk529264769"/>
      <w:r>
        <w:rPr>
          <w:rFonts w:hint="eastAsia" w:ascii="Times New Roman" w:hAnsi="Times New Roman"/>
          <w:snapToGrid w:val="0"/>
          <w:kern w:val="0"/>
          <w:sz w:val="24"/>
          <w:szCs w:val="24"/>
        </w:rPr>
        <w:t>（1）《场地环境调查技术导则》（HJ25.1-2014）；</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（2）《场地环境监测技术导则》（HJ25.2-2014）；</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（3）《污染场地风险评估技术导则》（HJ25.3-2014）；</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（4）《地下水环境监测技术规范》（HJ/T 164-2004）；</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（5）《土壤环境监测技术规范》（HJ/T 166-2004）；</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（6）《岩土工程勘察规范》（GB 50021-2001）；</w:t>
      </w:r>
    </w:p>
    <w:p>
      <w:pPr>
        <w:spacing w:line="500" w:lineRule="exact"/>
        <w:ind w:firstLine="480" w:firstLineChars="200"/>
        <w:contextualSpacing/>
        <w:rPr>
          <w:rFonts w:ascii="Times New Roman" w:hAnsi="Times New Roman"/>
          <w:snapToGrid w:val="0"/>
          <w:kern w:val="0"/>
          <w:sz w:val="24"/>
          <w:szCs w:val="24"/>
        </w:rPr>
      </w:pPr>
      <w:r>
        <w:rPr>
          <w:rFonts w:hint="eastAsia" w:ascii="Times New Roman" w:hAnsi="Times New Roman"/>
          <w:snapToGrid w:val="0"/>
          <w:kern w:val="0"/>
          <w:sz w:val="24"/>
          <w:szCs w:val="24"/>
        </w:rPr>
        <w:t>（7）</w:t>
      </w:r>
      <w:r>
        <w:rPr>
          <w:rFonts w:hint="eastAsia" w:ascii="Times New Roman" w:hAnsi="Times New Roman"/>
          <w:color w:val="000000"/>
          <w:kern w:val="0"/>
          <w:sz w:val="24"/>
        </w:rPr>
        <w:t>《危险废物鉴别技术规范（征求意见稿）》（环办标征函</w:t>
      </w:r>
      <w:r>
        <w:rPr>
          <w:rFonts w:hint="eastAsia" w:ascii="Times New Roman" w:hAnsi="Times New Roman"/>
          <w:snapToGrid w:val="0"/>
          <w:kern w:val="0"/>
          <w:sz w:val="24"/>
          <w:szCs w:val="24"/>
        </w:rPr>
        <w:t>〔</w:t>
      </w:r>
      <w:r>
        <w:rPr>
          <w:rFonts w:ascii="Times New Roman" w:hAnsi="Times New Roman"/>
          <w:color w:val="000000"/>
          <w:kern w:val="0"/>
          <w:sz w:val="24"/>
        </w:rPr>
        <w:t>2018</w:t>
      </w:r>
      <w:r>
        <w:rPr>
          <w:rFonts w:hint="eastAsia" w:ascii="Times New Roman" w:hAnsi="Times New Roman"/>
          <w:snapToGrid w:val="0"/>
          <w:kern w:val="0"/>
          <w:sz w:val="24"/>
          <w:szCs w:val="24"/>
        </w:rPr>
        <w:t>〕</w:t>
      </w:r>
      <w:r>
        <w:rPr>
          <w:rFonts w:ascii="Times New Roman" w:hAnsi="Times New Roman"/>
          <w:color w:val="000000"/>
          <w:kern w:val="0"/>
          <w:sz w:val="24"/>
        </w:rPr>
        <w:t>19号）</w:t>
      </w:r>
      <w:r>
        <w:rPr>
          <w:rFonts w:hint="eastAsia" w:ascii="Times New Roman" w:hAnsi="Times New Roman"/>
          <w:color w:val="000000"/>
          <w:kern w:val="0"/>
          <w:sz w:val="24"/>
        </w:rPr>
        <w:t>；</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（8）《排污单位自行监测技术指南 总则》（HJ</w:t>
      </w:r>
      <w:r>
        <w:rPr>
          <w:rFonts w:ascii="Times New Roman" w:hAnsi="Times New Roman"/>
          <w:snapToGrid w:val="0"/>
          <w:kern w:val="0"/>
          <w:sz w:val="24"/>
          <w:szCs w:val="24"/>
        </w:rPr>
        <w:t xml:space="preserve"> </w:t>
      </w:r>
      <w:r>
        <w:rPr>
          <w:rFonts w:hint="eastAsia" w:ascii="Times New Roman" w:hAnsi="Times New Roman"/>
          <w:snapToGrid w:val="0"/>
          <w:kern w:val="0"/>
          <w:sz w:val="24"/>
          <w:szCs w:val="24"/>
        </w:rPr>
        <w:t>819-2017）；</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（9）《建设用地土壤环境调查评估技术指南》（环境保护部，2017年12月14日）；</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（10）《工业企业场地环境调查评估与修复工作指南（试行）》（环境保护部，2014年11 月）；</w:t>
      </w:r>
    </w:p>
    <w:p>
      <w:pPr>
        <w:pStyle w:val="29"/>
        <w:spacing w:line="500" w:lineRule="exact"/>
        <w:ind w:right="210" w:firstLine="480"/>
        <w:jc w:val="both"/>
        <w:rPr>
          <w:rFonts w:ascii="Times New Roman" w:hAnsi="Times New Roman"/>
          <w:snapToGrid w:val="0"/>
          <w:kern w:val="0"/>
        </w:rPr>
      </w:pPr>
      <w:r>
        <w:rPr>
          <w:rFonts w:hint="eastAsia" w:ascii="Times New Roman" w:hAnsi="Times New Roman" w:eastAsia="宋体" w:cs="Times New Roman"/>
          <w:kern w:val="0"/>
          <w:szCs w:val="22"/>
        </w:rPr>
        <w:t>（11）</w:t>
      </w:r>
      <w:r>
        <w:rPr>
          <w:rFonts w:hint="default" w:ascii="Times New Roman" w:hAnsi="Times New Roman" w:eastAsia="宋体" w:cs="Times New Roman"/>
          <w:snapToGrid w:val="0"/>
          <w:kern w:val="0"/>
          <w:sz w:val="24"/>
          <w:szCs w:val="24"/>
          <w:lang w:val="en-US" w:eastAsia="zh-CN" w:bidi="ar-SA"/>
        </w:rPr>
        <w:t>《</w:t>
      </w:r>
      <w:r>
        <w:rPr>
          <w:rFonts w:hint="eastAsia" w:ascii="Times New Roman" w:hAnsi="Times New Roman" w:eastAsia="宋体" w:cs="Times New Roman"/>
          <w:snapToGrid w:val="0"/>
          <w:kern w:val="0"/>
          <w:sz w:val="24"/>
          <w:szCs w:val="24"/>
          <w:lang w:val="en-US" w:eastAsia="zh-CN" w:bidi="ar-SA"/>
        </w:rPr>
        <w:t>重点监管企业</w:t>
      </w:r>
      <w:r>
        <w:rPr>
          <w:rFonts w:hint="default" w:ascii="Times New Roman" w:hAnsi="Times New Roman" w:eastAsia="宋体" w:cs="Times New Roman"/>
          <w:snapToGrid w:val="0"/>
          <w:kern w:val="0"/>
          <w:sz w:val="24"/>
          <w:szCs w:val="24"/>
          <w:lang w:val="en-US" w:eastAsia="zh-CN" w:bidi="ar-SA"/>
        </w:rPr>
        <w:t>土壤污染隐患排查技术指南（试行）》（生态环境部 2021年 第1号公告）。</w:t>
      </w:r>
    </w:p>
    <w:bookmarkEnd w:id="37"/>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38" w:name="_Toc531519918"/>
      <w:bookmarkStart w:id="39" w:name="_Toc534203159"/>
      <w:bookmarkStart w:id="40" w:name="_Toc13847358"/>
      <w:bookmarkStart w:id="41" w:name="_Toc28234"/>
      <w:r>
        <w:rPr>
          <w:rFonts w:hint="eastAsia" w:ascii="Times New Roman" w:hAnsi="Times New Roman"/>
          <w:b/>
          <w:bCs/>
          <w:sz w:val="28"/>
          <w:szCs w:val="32"/>
        </w:rPr>
        <w:t>2</w:t>
      </w:r>
      <w:r>
        <w:rPr>
          <w:rFonts w:ascii="Times New Roman" w:hAnsi="Times New Roman"/>
          <w:b/>
          <w:bCs/>
          <w:sz w:val="28"/>
          <w:szCs w:val="32"/>
        </w:rPr>
        <w:t>.</w:t>
      </w:r>
      <w:r>
        <w:rPr>
          <w:rFonts w:hint="eastAsia" w:ascii="Times New Roman" w:hAnsi="Times New Roman"/>
          <w:b/>
          <w:bCs/>
          <w:sz w:val="28"/>
          <w:szCs w:val="32"/>
        </w:rPr>
        <w:t>3相关标准</w:t>
      </w:r>
      <w:bookmarkEnd w:id="38"/>
      <w:bookmarkEnd w:id="39"/>
      <w:bookmarkEnd w:id="40"/>
      <w:bookmarkEnd w:id="41"/>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（1）《土壤环境质量建设用地土壤污染风险管控标准》（试行）</w:t>
      </w:r>
      <w:bookmarkStart w:id="42" w:name="_Hlk529264868"/>
      <w:r>
        <w:rPr>
          <w:rFonts w:hint="eastAsia" w:ascii="Times New Roman" w:hAnsi="Times New Roman"/>
          <w:snapToGrid w:val="0"/>
          <w:kern w:val="0"/>
          <w:sz w:val="24"/>
          <w:szCs w:val="24"/>
        </w:rPr>
        <w:t>（GB36600-2018）</w:t>
      </w:r>
      <w:bookmarkEnd w:id="42"/>
      <w:r>
        <w:rPr>
          <w:rFonts w:hint="eastAsia" w:ascii="Times New Roman" w:hAnsi="Times New Roman"/>
          <w:snapToGrid w:val="0"/>
          <w:kern w:val="0"/>
          <w:sz w:val="24"/>
          <w:szCs w:val="24"/>
        </w:rPr>
        <w:t>；</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（2）《地下水质量标准》（GB/T14848-2017）；</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（3）《</w:t>
      </w:r>
      <w:r>
        <w:rPr>
          <w:rFonts w:ascii="Times New Roman" w:hAnsi="Times New Roman"/>
          <w:snapToGrid w:val="0"/>
          <w:kern w:val="0"/>
          <w:sz w:val="24"/>
          <w:szCs w:val="24"/>
        </w:rPr>
        <w:t>Resident Vapor Intrusion Screening Levels (VISL)</w:t>
      </w:r>
      <w:r>
        <w:rPr>
          <w:rFonts w:hint="eastAsia" w:ascii="Times New Roman" w:hAnsi="Times New Roman"/>
          <w:snapToGrid w:val="0"/>
          <w:kern w:val="0"/>
          <w:sz w:val="24"/>
          <w:szCs w:val="24"/>
        </w:rPr>
        <w:t>》（US</w:t>
      </w:r>
      <w:r>
        <w:rPr>
          <w:rFonts w:ascii="Times New Roman" w:hAnsi="Times New Roman"/>
          <w:snapToGrid w:val="0"/>
          <w:kern w:val="0"/>
          <w:sz w:val="24"/>
          <w:szCs w:val="24"/>
        </w:rPr>
        <w:t xml:space="preserve"> </w:t>
      </w:r>
      <w:r>
        <w:rPr>
          <w:rFonts w:hint="eastAsia" w:ascii="Times New Roman" w:hAnsi="Times New Roman"/>
          <w:snapToGrid w:val="0"/>
          <w:kern w:val="0"/>
          <w:sz w:val="24"/>
          <w:szCs w:val="24"/>
        </w:rPr>
        <w:t>EPA）。</w:t>
      </w:r>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43" w:name="_Toc13847359"/>
      <w:bookmarkStart w:id="44" w:name="_Toc534203160"/>
      <w:bookmarkStart w:id="45" w:name="_Toc531519919"/>
      <w:bookmarkStart w:id="46" w:name="_Toc9135"/>
      <w:r>
        <w:rPr>
          <w:rFonts w:hint="eastAsia" w:ascii="Times New Roman" w:hAnsi="Times New Roman"/>
          <w:b/>
          <w:bCs/>
          <w:sz w:val="28"/>
          <w:szCs w:val="32"/>
        </w:rPr>
        <w:t>2</w:t>
      </w:r>
      <w:r>
        <w:rPr>
          <w:rFonts w:ascii="Times New Roman" w:hAnsi="Times New Roman"/>
          <w:b/>
          <w:bCs/>
          <w:sz w:val="28"/>
          <w:szCs w:val="32"/>
        </w:rPr>
        <w:t>.</w:t>
      </w:r>
      <w:r>
        <w:rPr>
          <w:rFonts w:hint="eastAsia" w:ascii="Times New Roman" w:hAnsi="Times New Roman"/>
          <w:b/>
          <w:bCs/>
          <w:sz w:val="28"/>
          <w:szCs w:val="32"/>
        </w:rPr>
        <w:t>4其他资料</w:t>
      </w:r>
      <w:bookmarkEnd w:id="43"/>
      <w:bookmarkEnd w:id="44"/>
      <w:bookmarkEnd w:id="45"/>
      <w:bookmarkEnd w:id="46"/>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（1）《</w:t>
      </w:r>
      <w:r>
        <w:rPr>
          <w:rFonts w:hint="eastAsia" w:ascii="Times New Roman" w:hAnsi="Times New Roman"/>
          <w:snapToGrid w:val="0"/>
          <w:kern w:val="0"/>
          <w:sz w:val="24"/>
          <w:szCs w:val="24"/>
          <w:lang w:eastAsia="zh-CN"/>
        </w:rPr>
        <w:t>江苏奥斯佳材料科技有限公司</w:t>
      </w:r>
      <w:r>
        <w:rPr>
          <w:rFonts w:hint="eastAsia" w:ascii="Times New Roman" w:hAnsi="Times New Roman"/>
          <w:snapToGrid w:val="0"/>
          <w:kern w:val="0"/>
          <w:sz w:val="24"/>
          <w:szCs w:val="24"/>
        </w:rPr>
        <w:t>建设项目环境影响报告》；</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（2）《</w:t>
      </w:r>
      <w:r>
        <w:rPr>
          <w:rFonts w:hint="eastAsia" w:ascii="Times New Roman" w:hAnsi="Times New Roman"/>
          <w:snapToGrid w:val="0"/>
          <w:kern w:val="0"/>
          <w:sz w:val="24"/>
          <w:szCs w:val="24"/>
          <w:lang w:eastAsia="zh-CN"/>
        </w:rPr>
        <w:t>江苏奥斯佳材料科技有限公司</w:t>
      </w:r>
      <w:r>
        <w:rPr>
          <w:rFonts w:hint="eastAsia" w:ascii="Times New Roman" w:hAnsi="Times New Roman"/>
          <w:snapToGrid w:val="0"/>
          <w:kern w:val="0"/>
          <w:sz w:val="24"/>
          <w:szCs w:val="24"/>
        </w:rPr>
        <w:t>突发环境事件应急预案》；</w:t>
      </w:r>
    </w:p>
    <w:p>
      <w:pPr>
        <w:widowControl/>
        <w:spacing w:line="500" w:lineRule="exact"/>
        <w:ind w:firstLine="480" w:firstLineChars="200"/>
        <w:rPr>
          <w:rFonts w:ascii="Times New Roman" w:hAnsi="Times New Roman"/>
          <w:snapToGrid w:val="0"/>
          <w:kern w:val="0"/>
          <w:sz w:val="24"/>
          <w:szCs w:val="24"/>
        </w:rPr>
      </w:pPr>
      <w:r>
        <w:rPr>
          <w:rFonts w:hint="eastAsia" w:ascii="Times New Roman" w:hAnsi="Times New Roman"/>
          <w:snapToGrid w:val="0"/>
          <w:kern w:val="0"/>
          <w:sz w:val="24"/>
          <w:szCs w:val="24"/>
        </w:rPr>
        <w:t>（3）《</w:t>
      </w:r>
      <w:r>
        <w:rPr>
          <w:rFonts w:hint="eastAsia" w:ascii="Times New Roman" w:hAnsi="Times New Roman"/>
          <w:snapToGrid w:val="0"/>
          <w:kern w:val="0"/>
          <w:sz w:val="24"/>
          <w:szCs w:val="24"/>
          <w:lang w:eastAsia="zh-CN"/>
        </w:rPr>
        <w:t>江苏奥斯佳材料科技有限公司</w:t>
      </w:r>
      <w:r>
        <w:rPr>
          <w:rFonts w:hint="eastAsia" w:ascii="Times New Roman" w:hAnsi="Times New Roman"/>
          <w:snapToGrid w:val="0"/>
          <w:kern w:val="0"/>
          <w:sz w:val="24"/>
          <w:szCs w:val="24"/>
        </w:rPr>
        <w:t>土壤污染隐患排查报告》。</w:t>
      </w:r>
    </w:p>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sectPr>
          <w:pgSz w:w="11906" w:h="16838"/>
          <w:pgMar w:top="1440" w:right="1800" w:bottom="1440" w:left="1800" w:header="851" w:footer="992" w:gutter="0"/>
          <w:cols w:space="425" w:num="1"/>
          <w:docGrid w:type="lines" w:linePitch="312" w:charSpace="0"/>
        </w:sectPr>
      </w:pPr>
    </w:p>
    <w:p>
      <w:pPr>
        <w:keepNext/>
        <w:keepLines/>
        <w:spacing w:line="500" w:lineRule="exact"/>
        <w:outlineLvl w:val="0"/>
        <w:rPr>
          <w:rFonts w:ascii="Times New Roman" w:hAnsi="Times New Roman"/>
          <w:b/>
          <w:bCs/>
          <w:kern w:val="44"/>
          <w:sz w:val="36"/>
          <w:szCs w:val="44"/>
        </w:rPr>
      </w:pPr>
      <w:bookmarkStart w:id="47" w:name="_Toc13847360"/>
      <w:bookmarkStart w:id="48" w:name="_Toc534203161"/>
      <w:bookmarkStart w:id="49" w:name="_Toc531519920"/>
      <w:bookmarkStart w:id="50" w:name="_Toc20221"/>
      <w:r>
        <w:rPr>
          <w:rFonts w:hint="eastAsia" w:ascii="Times New Roman" w:hAnsi="Times New Roman"/>
          <w:b/>
          <w:bCs/>
          <w:kern w:val="44"/>
          <w:sz w:val="36"/>
          <w:szCs w:val="44"/>
        </w:rPr>
        <w:t>3</w:t>
      </w:r>
      <w:r>
        <w:rPr>
          <w:rFonts w:ascii="Times New Roman" w:hAnsi="Times New Roman"/>
          <w:b/>
          <w:bCs/>
          <w:kern w:val="44"/>
          <w:sz w:val="36"/>
          <w:szCs w:val="44"/>
        </w:rPr>
        <w:t xml:space="preserve"> </w:t>
      </w:r>
      <w:r>
        <w:rPr>
          <w:rFonts w:hint="eastAsia" w:ascii="Times New Roman" w:hAnsi="Times New Roman"/>
          <w:b/>
          <w:bCs/>
          <w:kern w:val="44"/>
          <w:sz w:val="36"/>
          <w:szCs w:val="44"/>
        </w:rPr>
        <w:t>工作流程</w:t>
      </w:r>
      <w:bookmarkEnd w:id="47"/>
      <w:bookmarkEnd w:id="48"/>
      <w:bookmarkEnd w:id="49"/>
      <w:bookmarkEnd w:id="50"/>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重点监管企业土壤与地下水自行监测工作流程主要包括三个部分：土壤污染隐患排查部分、土壤与地下水自行监测方案制定、土壤与地下水自行监测采样与分析。本项目属于土壤与地下水自行监测方案制定，工作内容与流程如图3所示。</w:t>
      </w:r>
    </w:p>
    <w:p>
      <w:pPr>
        <w:widowControl/>
        <w:spacing w:line="500" w:lineRule="exact"/>
        <w:rPr>
          <w:rFonts w:ascii="Times New Roman" w:hAnsi="Times New Roman"/>
          <w:snapToGrid w:val="0"/>
          <w:kern w:val="0"/>
          <w:sz w:val="24"/>
          <w:szCs w:val="24"/>
        </w:rPr>
      </w:pPr>
      <w:r>
        <w:rPr>
          <w:rFonts w:ascii="Times New Roman" w:hAnsi="Times New Roman"/>
          <w:snapToGrid w:val="0"/>
          <w:kern w:val="0"/>
          <w:sz w:val="24"/>
          <w:szCs w:val="24"/>
        </w:rPr>
        <w:tab/>
      </w:r>
      <w:r>
        <w:rPr>
          <w:rFonts w:hint="eastAsia" w:ascii="Times New Roman" w:hAnsi="Times New Roman"/>
          <w:snapToGrid w:val="0"/>
          <w:kern w:val="0"/>
          <w:sz w:val="24"/>
          <w:szCs w:val="24"/>
        </w:rPr>
        <w:t>整体工作参照《在产企业土壤及地下水自行监测技术指南》（征求意见稿）（以下简称“指南”）的要求，针对重点设施与区域开展土壤一般监测以及地下水监测</w:t>
      </w:r>
      <w:r>
        <w:rPr>
          <w:rFonts w:hint="eastAsia" w:ascii="Times New Roman" w:hAnsi="Times New Roman"/>
          <w:snapToGrid w:val="0"/>
          <w:kern w:val="0"/>
          <w:sz w:val="24"/>
          <w:szCs w:val="24"/>
          <w:lang w:eastAsia="zh-CN"/>
        </w:rPr>
        <w:t>制定方案</w:t>
      </w:r>
      <w:r>
        <w:rPr>
          <w:rFonts w:hint="eastAsia" w:ascii="Times New Roman" w:hAnsi="Times New Roman"/>
          <w:snapToGrid w:val="0"/>
          <w:kern w:val="0"/>
          <w:sz w:val="24"/>
          <w:szCs w:val="24"/>
        </w:rPr>
        <w:t>。</w:t>
      </w:r>
    </w:p>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sectPr>
          <w:pgSz w:w="11906" w:h="16838"/>
          <w:pgMar w:top="1440" w:right="1800" w:bottom="1440" w:left="1800" w:header="851" w:footer="992" w:gutter="0"/>
          <w:cols w:space="425" w:num="1"/>
          <w:docGrid w:type="lines" w:linePitch="312" w:charSpace="0"/>
        </w:sectPr>
      </w:pPr>
    </w:p>
    <w:p>
      <w:pPr>
        <w:widowControl/>
        <w:jc w:val="center"/>
        <w:rPr>
          <w:rFonts w:ascii="Times New Roman" w:hAnsi="Times New Roman"/>
          <w:b/>
          <w:snapToGrid w:val="0"/>
          <w:kern w:val="0"/>
          <w:sz w:val="24"/>
          <w:szCs w:val="24"/>
        </w:rPr>
      </w:pPr>
      <w:r>
        <w:rPr>
          <w:rFonts w:ascii="Times New Roman" w:hAnsi="Times New Roman"/>
          <w:b/>
          <w:snapToGrid w:val="0"/>
          <w:kern w:val="0"/>
          <w:sz w:val="24"/>
          <w:szCs w:val="24"/>
        </w:rPr>
        <w:drawing>
          <wp:inline distT="0" distB="0" distL="0" distR="0">
            <wp:extent cx="4218305" cy="3086735"/>
            <wp:effectExtent l="0" t="0" r="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BEBA8EAE-BF5A-486C-A8C5-ECC9F3942E4B}">
                          <a14:imgProps xmlns:a14="http://schemas.microsoft.com/office/drawing/2010/main">
                            <a14:imgLayer r:embed="rId8">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b="56679"/>
                    <a:stretch>
                      <a:fillRect/>
                    </a:stretch>
                  </pic:blipFill>
                  <pic:spPr>
                    <a:xfrm>
                      <a:off x="0" y="0"/>
                      <a:ext cx="4235578" cy="3086735"/>
                    </a:xfrm>
                    <a:prstGeom prst="rect">
                      <a:avLst/>
                    </a:prstGeom>
                    <a:noFill/>
                  </pic:spPr>
                </pic:pic>
              </a:graphicData>
            </a:graphic>
          </wp:inline>
        </w:drawing>
      </w:r>
    </w:p>
    <w:p>
      <w:pPr>
        <w:widowControl/>
        <w:spacing w:line="500" w:lineRule="exact"/>
        <w:jc w:val="center"/>
        <w:rPr>
          <w:rFonts w:ascii="Times New Roman" w:hAnsi="Times New Roman"/>
          <w:b/>
          <w:snapToGrid w:val="0"/>
          <w:kern w:val="0"/>
          <w:sz w:val="24"/>
          <w:szCs w:val="24"/>
        </w:rPr>
      </w:pPr>
      <w:r>
        <w:rPr>
          <w:rFonts w:hint="eastAsia" w:ascii="Times New Roman" w:hAnsi="Times New Roman"/>
          <w:b/>
          <w:snapToGrid w:val="0"/>
          <w:kern w:val="0"/>
          <w:sz w:val="24"/>
          <w:szCs w:val="24"/>
        </w:rPr>
        <w:t>图3</w:t>
      </w:r>
      <w:r>
        <w:rPr>
          <w:rFonts w:ascii="Times New Roman" w:hAnsi="Times New Roman"/>
          <w:b/>
          <w:snapToGrid w:val="0"/>
          <w:kern w:val="0"/>
          <w:sz w:val="24"/>
          <w:szCs w:val="24"/>
        </w:rPr>
        <w:t xml:space="preserve"> </w:t>
      </w:r>
      <w:r>
        <w:rPr>
          <w:rFonts w:hint="eastAsia" w:ascii="Times New Roman" w:hAnsi="Times New Roman"/>
          <w:b/>
          <w:snapToGrid w:val="0"/>
          <w:kern w:val="0"/>
          <w:sz w:val="24"/>
          <w:szCs w:val="24"/>
        </w:rPr>
        <w:t>重点监管企业自行监测</w:t>
      </w:r>
      <w:r>
        <w:rPr>
          <w:rFonts w:hint="eastAsia" w:ascii="Times New Roman" w:hAnsi="Times New Roman"/>
          <w:b/>
          <w:snapToGrid w:val="0"/>
          <w:kern w:val="0"/>
          <w:sz w:val="24"/>
          <w:szCs w:val="24"/>
          <w:lang w:eastAsia="zh-CN"/>
        </w:rPr>
        <w:t>方案编制</w:t>
      </w:r>
      <w:r>
        <w:rPr>
          <w:rFonts w:hint="eastAsia" w:ascii="Times New Roman" w:hAnsi="Times New Roman"/>
          <w:b/>
          <w:snapToGrid w:val="0"/>
          <w:kern w:val="0"/>
          <w:sz w:val="24"/>
          <w:szCs w:val="24"/>
        </w:rPr>
        <w:t>工作流程图</w:t>
      </w:r>
    </w:p>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sectPr>
          <w:pgSz w:w="11906" w:h="16838"/>
          <w:pgMar w:top="1440" w:right="1800" w:bottom="1440" w:left="1800" w:header="851" w:footer="992" w:gutter="0"/>
          <w:cols w:space="425" w:num="1"/>
          <w:docGrid w:type="lines" w:linePitch="312" w:charSpace="0"/>
        </w:sectPr>
      </w:pPr>
    </w:p>
    <w:p>
      <w:pPr>
        <w:keepNext/>
        <w:keepLines/>
        <w:spacing w:line="500" w:lineRule="exact"/>
        <w:outlineLvl w:val="0"/>
        <w:rPr>
          <w:rFonts w:ascii="Times New Roman" w:hAnsi="Times New Roman"/>
          <w:b/>
          <w:bCs/>
          <w:kern w:val="44"/>
          <w:sz w:val="36"/>
          <w:szCs w:val="44"/>
        </w:rPr>
      </w:pPr>
      <w:bookmarkStart w:id="51" w:name="_Toc534203162"/>
      <w:bookmarkStart w:id="52" w:name="_Toc13847361"/>
      <w:bookmarkStart w:id="53" w:name="_Toc531519921"/>
      <w:bookmarkStart w:id="54" w:name="_Toc31245"/>
      <w:r>
        <w:rPr>
          <w:rFonts w:hint="eastAsia" w:ascii="Times New Roman" w:hAnsi="Times New Roman"/>
          <w:b/>
          <w:bCs/>
          <w:kern w:val="44"/>
          <w:sz w:val="36"/>
          <w:szCs w:val="44"/>
        </w:rPr>
        <w:t>4</w:t>
      </w:r>
      <w:r>
        <w:rPr>
          <w:rFonts w:ascii="Times New Roman" w:hAnsi="Times New Roman"/>
          <w:b/>
          <w:bCs/>
          <w:kern w:val="44"/>
          <w:sz w:val="36"/>
          <w:szCs w:val="44"/>
        </w:rPr>
        <w:t xml:space="preserve"> </w:t>
      </w:r>
      <w:r>
        <w:rPr>
          <w:rFonts w:hint="eastAsia" w:ascii="Times New Roman" w:hAnsi="Times New Roman"/>
          <w:b/>
          <w:bCs/>
          <w:kern w:val="44"/>
          <w:sz w:val="36"/>
          <w:szCs w:val="44"/>
        </w:rPr>
        <w:t>排查概况</w:t>
      </w:r>
      <w:bookmarkEnd w:id="51"/>
      <w:bookmarkEnd w:id="52"/>
      <w:bookmarkEnd w:id="53"/>
      <w:bookmarkEnd w:id="54"/>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55" w:name="_Toc534203163"/>
      <w:bookmarkStart w:id="56" w:name="_Toc13847362"/>
      <w:bookmarkStart w:id="57" w:name="_Toc531519922"/>
      <w:bookmarkStart w:id="58" w:name="_Toc932"/>
      <w:r>
        <w:rPr>
          <w:rFonts w:hint="eastAsia" w:ascii="Times New Roman" w:hAnsi="Times New Roman"/>
          <w:b/>
          <w:bCs/>
          <w:sz w:val="28"/>
          <w:szCs w:val="32"/>
        </w:rPr>
        <w:t>4</w:t>
      </w:r>
      <w:r>
        <w:rPr>
          <w:rFonts w:ascii="Times New Roman" w:hAnsi="Times New Roman"/>
          <w:b/>
          <w:bCs/>
          <w:sz w:val="28"/>
          <w:szCs w:val="32"/>
        </w:rPr>
        <w:t>.1</w:t>
      </w:r>
      <w:r>
        <w:rPr>
          <w:rFonts w:hint="eastAsia" w:ascii="Times New Roman" w:hAnsi="Times New Roman"/>
          <w:b/>
          <w:bCs/>
          <w:sz w:val="28"/>
          <w:szCs w:val="32"/>
        </w:rPr>
        <w:t>企业建设概况</w:t>
      </w:r>
      <w:bookmarkEnd w:id="55"/>
      <w:bookmarkEnd w:id="56"/>
      <w:bookmarkEnd w:id="57"/>
      <w:bookmarkEnd w:id="58"/>
    </w:p>
    <w:p>
      <w:pPr>
        <w:widowControl/>
        <w:spacing w:line="500" w:lineRule="exact"/>
        <w:ind w:firstLine="420"/>
        <w:rPr>
          <w:rFonts w:ascii="Times New Roman" w:hAnsi="Times New Roman"/>
          <w:kern w:val="0"/>
          <w:sz w:val="24"/>
          <w:szCs w:val="24"/>
        </w:rPr>
      </w:pPr>
      <w:r>
        <w:rPr>
          <w:rFonts w:hint="default" w:ascii="Times New Roman" w:hAnsi="Times New Roman"/>
          <w:snapToGrid w:val="0"/>
          <w:kern w:val="0"/>
          <w:sz w:val="24"/>
          <w:szCs w:val="24"/>
          <w:lang w:val="en-US" w:eastAsia="zh-CN"/>
        </w:rPr>
        <w:t>江苏奥斯佳材料科技有限公司于2017年3月委托江苏久力环境工程有限公司编制《江苏奥斯佳材料科技有限公司新建年产18010吨聚氨酯用特种材料（18000吨聚氨酯用特种硅油、10吨聚氨酯用其他助剂）及2000吨水性胶黏剂项目环境影响报告书》，2017年6月通过了张家港市环保局审批。目前企业仅建成年产6000吨聚氨酯用特种硅油（一阶段），并进入试生产阶段，其余项目正在筹建中。江苏奥斯佳材料科技有限公司</w:t>
      </w:r>
      <w:r>
        <w:rPr>
          <w:rFonts w:hint="eastAsia" w:ascii="Times New Roman" w:hAnsi="Times New Roman"/>
          <w:snapToGrid w:val="0"/>
          <w:kern w:val="0"/>
          <w:sz w:val="24"/>
          <w:szCs w:val="24"/>
        </w:rPr>
        <w:t>建设情况见表4.1-1。</w:t>
      </w:r>
    </w:p>
    <w:p>
      <w:pPr>
        <w:spacing w:line="500" w:lineRule="exact"/>
        <w:jc w:val="center"/>
        <w:rPr>
          <w:rFonts w:ascii="Times New Roman" w:hAnsi="Times New Roman"/>
          <w:b/>
          <w:sz w:val="24"/>
          <w:szCs w:val="24"/>
        </w:rPr>
      </w:pPr>
      <w:r>
        <w:rPr>
          <w:rFonts w:ascii="Times New Roman" w:hAnsi="Times New Roman"/>
          <w:b/>
          <w:sz w:val="24"/>
          <w:szCs w:val="24"/>
        </w:rPr>
        <w:t>表</w:t>
      </w:r>
      <w:r>
        <w:rPr>
          <w:rFonts w:hint="eastAsia" w:ascii="Times New Roman" w:hAnsi="Times New Roman"/>
          <w:b/>
          <w:sz w:val="24"/>
          <w:szCs w:val="24"/>
        </w:rPr>
        <w:t>4</w:t>
      </w:r>
      <w:r>
        <w:rPr>
          <w:rFonts w:ascii="Times New Roman" w:hAnsi="Times New Roman"/>
          <w:b/>
          <w:sz w:val="24"/>
          <w:szCs w:val="24"/>
        </w:rPr>
        <w:t>.1-1</w:t>
      </w:r>
      <w:r>
        <w:rPr>
          <w:rFonts w:hint="default" w:ascii="Times New Roman" w:hAnsi="Times New Roman"/>
          <w:b/>
          <w:sz w:val="24"/>
          <w:szCs w:val="24"/>
          <w:lang w:val="en-US" w:eastAsia="zh-CN"/>
        </w:rPr>
        <w:t>江苏奥斯佳材料科技有限公司</w:t>
      </w:r>
      <w:r>
        <w:rPr>
          <w:rFonts w:ascii="Times New Roman" w:hAnsi="Times New Roman"/>
          <w:b/>
          <w:sz w:val="24"/>
          <w:szCs w:val="24"/>
        </w:rPr>
        <w:t>建设情况一览表</w:t>
      </w:r>
    </w:p>
    <w:tbl>
      <w:tblPr>
        <w:tblStyle w:val="19"/>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1"/>
        <w:gridCol w:w="1861"/>
        <w:gridCol w:w="1379"/>
        <w:gridCol w:w="1200"/>
        <w:gridCol w:w="1128"/>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1" w:type="dxa"/>
            <w:vAlign w:val="top"/>
          </w:tcPr>
          <w:p>
            <w:pPr>
              <w:pStyle w:val="38"/>
              <w:spacing w:before="1"/>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b/>
                <w:sz w:val="21"/>
                <w:szCs w:val="21"/>
              </w:rPr>
              <w:t>项目名称</w:t>
            </w:r>
          </w:p>
        </w:tc>
        <w:tc>
          <w:tcPr>
            <w:tcW w:w="1861" w:type="dxa"/>
            <w:vAlign w:val="top"/>
          </w:tcPr>
          <w:p>
            <w:pPr>
              <w:pStyle w:val="38"/>
              <w:spacing w:before="1"/>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建设情况</w:t>
            </w:r>
          </w:p>
        </w:tc>
        <w:tc>
          <w:tcPr>
            <w:tcW w:w="1379" w:type="dxa"/>
            <w:vAlign w:val="top"/>
          </w:tcPr>
          <w:p>
            <w:pPr>
              <w:pStyle w:val="38"/>
              <w:spacing w:before="1"/>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b/>
                <w:sz w:val="21"/>
                <w:szCs w:val="21"/>
              </w:rPr>
              <w:t>环评批复</w:t>
            </w:r>
          </w:p>
        </w:tc>
        <w:tc>
          <w:tcPr>
            <w:tcW w:w="1200" w:type="dxa"/>
            <w:vAlign w:val="top"/>
          </w:tcPr>
          <w:p>
            <w:pPr>
              <w:pStyle w:val="38"/>
              <w:spacing w:before="1"/>
              <w:ind w:right="83" w:rightChars="0"/>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b/>
                <w:sz w:val="21"/>
                <w:szCs w:val="21"/>
              </w:rPr>
              <w:t>审批时间</w:t>
            </w:r>
          </w:p>
        </w:tc>
        <w:tc>
          <w:tcPr>
            <w:tcW w:w="1128" w:type="dxa"/>
            <w:vAlign w:val="top"/>
          </w:tcPr>
          <w:p>
            <w:pPr>
              <w:pStyle w:val="38"/>
              <w:spacing w:before="1"/>
              <w:ind w:right="25" w:rightChars="0"/>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b/>
                <w:sz w:val="21"/>
                <w:szCs w:val="21"/>
              </w:rPr>
              <w:t>验收时间</w:t>
            </w:r>
          </w:p>
        </w:tc>
        <w:tc>
          <w:tcPr>
            <w:tcW w:w="1241" w:type="dxa"/>
            <w:vAlign w:val="top"/>
          </w:tcPr>
          <w:p>
            <w:pPr>
              <w:pStyle w:val="38"/>
              <w:spacing w:before="1"/>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bidi="ar-SA"/>
              </w:rPr>
              <w:t>18000吨聚氨酯用特种硅油</w:t>
            </w:r>
          </w:p>
        </w:tc>
        <w:tc>
          <w:tcPr>
            <w:tcW w:w="18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现建成年产6000吨聚氨酯用特种硅油（一阶段）</w:t>
            </w:r>
          </w:p>
        </w:tc>
        <w:tc>
          <w:tcPr>
            <w:tcW w:w="1379"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苏环建【2017】20号</w:t>
            </w:r>
          </w:p>
        </w:tc>
        <w:tc>
          <w:tcPr>
            <w:tcW w:w="1200"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2017年3月23日</w:t>
            </w:r>
          </w:p>
        </w:tc>
        <w:tc>
          <w:tcPr>
            <w:tcW w:w="112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验收期间中</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试运行</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阶段（2020年8月-至今）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bidi="ar-SA"/>
              </w:rPr>
              <w:t>10吨聚氨酯用其他助剂</w:t>
            </w:r>
          </w:p>
        </w:tc>
        <w:tc>
          <w:tcPr>
            <w:tcW w:w="18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已取消建设</w:t>
            </w:r>
          </w:p>
        </w:tc>
        <w:tc>
          <w:tcPr>
            <w:tcW w:w="137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20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12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s="Times New Roman"/>
                <w:color w:val="auto"/>
                <w:kern w:val="0"/>
                <w:sz w:val="21"/>
                <w:szCs w:val="21"/>
                <w:vertAlign w:val="baseline"/>
                <w:lang w:val="en-US" w:eastAsia="zh-CN" w:bidi="ar-SA"/>
              </w:rPr>
              <w:t>/</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1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2000吨水性胶黏剂</w:t>
            </w:r>
          </w:p>
        </w:tc>
        <w:tc>
          <w:tcPr>
            <w:tcW w:w="18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正在建设中</w:t>
            </w:r>
          </w:p>
        </w:tc>
        <w:tc>
          <w:tcPr>
            <w:tcW w:w="1379"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20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12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未验收</w:t>
            </w:r>
          </w:p>
        </w:tc>
        <w:tc>
          <w:tcPr>
            <w:tcW w:w="12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w:t>
            </w:r>
          </w:p>
        </w:tc>
      </w:tr>
    </w:tbl>
    <w:p>
      <w:pPr>
        <w:pStyle w:val="32"/>
        <w:spacing w:line="500" w:lineRule="exact"/>
        <w:ind w:firstLine="420" w:firstLineChars="0"/>
      </w:pPr>
      <w:r>
        <w:rPr>
          <w:rFonts w:hint="default" w:ascii="Times New Roman" w:hAnsi="Times New Roman"/>
          <w:snapToGrid w:val="0"/>
          <w:kern w:val="0"/>
          <w:sz w:val="24"/>
          <w:szCs w:val="24"/>
          <w:lang w:val="en-US" w:eastAsia="zh-CN"/>
        </w:rPr>
        <w:t>江苏奥斯佳材料科技有限公司</w:t>
      </w:r>
      <w:r>
        <w:rPr>
          <w:rFonts w:hint="eastAsia"/>
        </w:rPr>
        <w:t>平面布置见图4</w:t>
      </w:r>
      <w:r>
        <w:t>.</w:t>
      </w:r>
      <w:r>
        <w:rPr>
          <w:rFonts w:hint="eastAsia"/>
        </w:rPr>
        <w:t>1</w:t>
      </w:r>
      <w:r>
        <w:t>-1</w:t>
      </w:r>
      <w:r>
        <w:rPr>
          <w:rFonts w:hint="eastAsia"/>
        </w:rPr>
        <w:t>所示</w:t>
      </w:r>
      <w:r>
        <w:t>。</w:t>
      </w:r>
    </w:p>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sectPr>
          <w:pgSz w:w="11906" w:h="16838"/>
          <w:pgMar w:top="1440" w:right="1800" w:bottom="1440" w:left="1800" w:header="851" w:footer="992" w:gutter="0"/>
          <w:cols w:space="425" w:num="1"/>
          <w:docGrid w:type="lines" w:linePitch="312" w:charSpace="0"/>
        </w:sectPr>
      </w:pPr>
    </w:p>
    <w:p>
      <w:pPr>
        <w:jc w:val="center"/>
      </w:pPr>
    </w:p>
    <w:p>
      <w:pPr>
        <w:jc w:val="center"/>
      </w:pPr>
    </w:p>
    <w:p>
      <w:pPr>
        <w:jc w:val="center"/>
      </w:pPr>
    </w:p>
    <w:p>
      <w:pPr>
        <w:jc w:val="center"/>
      </w:pPr>
      <w:r>
        <w:drawing>
          <wp:inline distT="0" distB="0" distL="114300" distR="114300">
            <wp:extent cx="9467850" cy="4427855"/>
            <wp:effectExtent l="0" t="0" r="635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9467850" cy="4427855"/>
                    </a:xfrm>
                    <a:prstGeom prst="rect">
                      <a:avLst/>
                    </a:prstGeom>
                    <a:noFill/>
                    <a:ln>
                      <a:noFill/>
                    </a:ln>
                  </pic:spPr>
                </pic:pic>
              </a:graphicData>
            </a:graphic>
          </wp:inline>
        </w:drawing>
      </w:r>
    </w:p>
    <w:p>
      <w:pPr>
        <w:jc w:val="center"/>
        <w:rPr>
          <w:rFonts w:ascii="Times New Roman" w:hAnsi="Times New Roman"/>
          <w:snapToGrid w:val="0"/>
          <w:kern w:val="0"/>
          <w:sz w:val="24"/>
          <w:szCs w:val="24"/>
        </w:rPr>
      </w:pPr>
      <w:r>
        <w:rPr>
          <w:rFonts w:ascii="Times New Roman" w:hAnsi="Times New Roman"/>
          <w:b/>
          <w:sz w:val="24"/>
          <w:szCs w:val="24"/>
        </w:rPr>
        <w:t>图</w:t>
      </w:r>
      <w:r>
        <w:rPr>
          <w:rFonts w:hint="eastAsia" w:ascii="Times New Roman" w:hAnsi="Times New Roman"/>
          <w:b/>
          <w:sz w:val="24"/>
          <w:szCs w:val="24"/>
        </w:rPr>
        <w:t>4.1</w:t>
      </w:r>
      <w:r>
        <w:rPr>
          <w:rFonts w:ascii="Times New Roman" w:hAnsi="Times New Roman"/>
          <w:b/>
          <w:sz w:val="24"/>
          <w:szCs w:val="24"/>
        </w:rPr>
        <w:t>-1</w:t>
      </w:r>
      <w:r>
        <w:rPr>
          <w:rFonts w:hint="eastAsia" w:ascii="Times New Roman" w:hAnsi="Times New Roman"/>
          <w:b/>
          <w:sz w:val="24"/>
          <w:szCs w:val="24"/>
          <w:lang w:eastAsia="zh-CN"/>
        </w:rPr>
        <w:t>江苏奥斯佳材料科技有限公司</w:t>
      </w:r>
      <w:r>
        <w:rPr>
          <w:rFonts w:ascii="Times New Roman" w:hAnsi="Times New Roman"/>
          <w:b/>
          <w:sz w:val="24"/>
          <w:szCs w:val="24"/>
        </w:rPr>
        <w:t>厂区平面布置图</w:t>
      </w:r>
    </w:p>
    <w:p>
      <w:pPr>
        <w:widowControl/>
        <w:spacing w:line="500" w:lineRule="exact"/>
        <w:rPr>
          <w:rFonts w:ascii="Times New Roman" w:hAnsi="Times New Roman"/>
          <w:snapToGrid w:val="0"/>
          <w:kern w:val="0"/>
          <w:sz w:val="24"/>
          <w:szCs w:val="24"/>
        </w:rPr>
        <w:sectPr>
          <w:pgSz w:w="16838" w:h="11906" w:orient="landscape"/>
          <w:pgMar w:top="720" w:right="720" w:bottom="720" w:left="720" w:header="851" w:footer="992" w:gutter="0"/>
          <w:cols w:space="425" w:num="1"/>
          <w:docGrid w:type="lines" w:linePitch="312" w:charSpace="0"/>
        </w:sectPr>
      </w:pPr>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59" w:name="_Toc534203164"/>
      <w:bookmarkStart w:id="60" w:name="_Toc13847363"/>
      <w:bookmarkStart w:id="61" w:name="_Toc531519923"/>
      <w:bookmarkStart w:id="62" w:name="_Toc20861"/>
      <w:r>
        <w:rPr>
          <w:rFonts w:hint="eastAsia" w:ascii="Times New Roman" w:hAnsi="Times New Roman"/>
          <w:b/>
          <w:bCs/>
          <w:sz w:val="28"/>
          <w:szCs w:val="32"/>
        </w:rPr>
        <w:t>4</w:t>
      </w:r>
      <w:r>
        <w:rPr>
          <w:rFonts w:ascii="Times New Roman" w:hAnsi="Times New Roman"/>
          <w:b/>
          <w:bCs/>
          <w:sz w:val="28"/>
          <w:szCs w:val="32"/>
        </w:rPr>
        <w:t>.</w:t>
      </w:r>
      <w:r>
        <w:rPr>
          <w:rFonts w:hint="eastAsia" w:ascii="Times New Roman" w:hAnsi="Times New Roman"/>
          <w:b/>
          <w:bCs/>
          <w:sz w:val="28"/>
          <w:szCs w:val="32"/>
        </w:rPr>
        <w:t>2产品及原辅料消耗</w:t>
      </w:r>
      <w:bookmarkEnd w:id="59"/>
      <w:bookmarkEnd w:id="60"/>
      <w:bookmarkEnd w:id="61"/>
      <w:bookmarkEnd w:id="62"/>
    </w:p>
    <w:p>
      <w:pPr>
        <w:tabs>
          <w:tab w:val="left" w:pos="1200"/>
          <w:tab w:val="center" w:pos="4535"/>
        </w:tabs>
        <w:spacing w:line="500" w:lineRule="exact"/>
        <w:ind w:firstLine="705" w:firstLineChars="294"/>
        <w:jc w:val="left"/>
        <w:rPr>
          <w:rFonts w:ascii="Times New Roman" w:hAnsi="Times New Roman"/>
          <w:bCs/>
          <w:sz w:val="24"/>
          <w:szCs w:val="24"/>
        </w:rPr>
      </w:pPr>
      <w:r>
        <w:rPr>
          <w:rFonts w:hint="eastAsia" w:ascii="Times New Roman" w:hAnsi="Times New Roman"/>
          <w:sz w:val="24"/>
          <w:szCs w:val="24"/>
          <w:lang w:eastAsia="zh-CN"/>
        </w:rPr>
        <w:t>江苏奥斯佳材料科技有限公司</w:t>
      </w:r>
      <w:r>
        <w:rPr>
          <w:rFonts w:ascii="Times New Roman" w:hAnsi="Times New Roman"/>
          <w:sz w:val="24"/>
          <w:szCs w:val="24"/>
        </w:rPr>
        <w:t>主要原料能源</w:t>
      </w:r>
      <w:r>
        <w:rPr>
          <w:rFonts w:ascii="Times New Roman" w:hAnsi="Times New Roman"/>
          <w:bCs/>
          <w:sz w:val="24"/>
          <w:szCs w:val="24"/>
        </w:rPr>
        <w:t>消耗详见表</w:t>
      </w:r>
      <w:r>
        <w:rPr>
          <w:rFonts w:hint="eastAsia" w:ascii="Times New Roman" w:hAnsi="Times New Roman"/>
          <w:bCs/>
          <w:sz w:val="24"/>
          <w:szCs w:val="24"/>
        </w:rPr>
        <w:t>4.2</w:t>
      </w:r>
      <w:r>
        <w:rPr>
          <w:rFonts w:ascii="Times New Roman" w:hAnsi="Times New Roman"/>
          <w:bCs/>
          <w:sz w:val="24"/>
          <w:szCs w:val="24"/>
        </w:rPr>
        <w:t>-1。</w:t>
      </w:r>
    </w:p>
    <w:p>
      <w:pPr>
        <w:spacing w:line="500" w:lineRule="exact"/>
        <w:ind w:firstLine="482" w:firstLineChars="200"/>
        <w:jc w:val="center"/>
        <w:rPr>
          <w:rFonts w:ascii="Times New Roman" w:hAnsi="Times New Roman"/>
          <w:b/>
          <w:sz w:val="24"/>
        </w:rPr>
      </w:pPr>
      <w:r>
        <w:rPr>
          <w:rFonts w:ascii="Times New Roman" w:hAnsi="Times New Roman"/>
          <w:b/>
          <w:sz w:val="24"/>
        </w:rPr>
        <w:t>表</w:t>
      </w:r>
      <w:r>
        <w:rPr>
          <w:rFonts w:hint="eastAsia" w:ascii="Times New Roman" w:hAnsi="Times New Roman"/>
          <w:b/>
          <w:sz w:val="24"/>
        </w:rPr>
        <w:t>4.2</w:t>
      </w:r>
      <w:r>
        <w:rPr>
          <w:rFonts w:ascii="Times New Roman" w:hAnsi="Times New Roman"/>
          <w:b/>
          <w:sz w:val="24"/>
        </w:rPr>
        <w:t>-1 主要原辅材料消耗表</w:t>
      </w:r>
    </w:p>
    <w:tbl>
      <w:tblPr>
        <w:tblStyle w:val="18"/>
        <w:tblW w:w="51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2"/>
        <w:gridCol w:w="1602"/>
        <w:gridCol w:w="719"/>
        <w:gridCol w:w="633"/>
        <w:gridCol w:w="32"/>
        <w:gridCol w:w="557"/>
        <w:gridCol w:w="732"/>
        <w:gridCol w:w="417"/>
        <w:gridCol w:w="745"/>
        <w:gridCol w:w="1013"/>
        <w:gridCol w:w="150"/>
        <w:gridCol w:w="408"/>
        <w:gridCol w:w="1182"/>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pct"/>
          <w:jc w:val="center"/>
        </w:trPr>
        <w:tc>
          <w:tcPr>
            <w:tcW w:w="4991" w:type="pct"/>
            <w:gridSpan w:val="13"/>
            <w:noWrap w:val="0"/>
            <w:vAlign w:val="center"/>
          </w:tcPr>
          <w:p>
            <w:pPr>
              <w:pStyle w:val="5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pct"/>
          <w:jc w:val="center"/>
        </w:trPr>
        <w:tc>
          <w:tcPr>
            <w:tcW w:w="244"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编号</w:t>
            </w:r>
          </w:p>
        </w:tc>
        <w:tc>
          <w:tcPr>
            <w:tcW w:w="928"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存储物料</w:t>
            </w:r>
          </w:p>
        </w:tc>
        <w:tc>
          <w:tcPr>
            <w:tcW w:w="416"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容积</w:t>
            </w:r>
          </w:p>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(m³)</w:t>
            </w:r>
          </w:p>
        </w:tc>
        <w:tc>
          <w:tcPr>
            <w:tcW w:w="385" w:type="pct"/>
            <w:gridSpan w:val="2"/>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最大储存量（t）</w:t>
            </w:r>
          </w:p>
        </w:tc>
        <w:tc>
          <w:tcPr>
            <w:tcW w:w="322" w:type="pct"/>
            <w:noWrap w:val="0"/>
            <w:vAlign w:val="center"/>
          </w:tcPr>
          <w:p>
            <w:pPr>
              <w:pStyle w:val="5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周转期（d）</w:t>
            </w:r>
          </w:p>
        </w:tc>
        <w:tc>
          <w:tcPr>
            <w:tcW w:w="666" w:type="pct"/>
            <w:gridSpan w:val="2"/>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规格(m)</w:t>
            </w:r>
          </w:p>
        </w:tc>
        <w:tc>
          <w:tcPr>
            <w:tcW w:w="431"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类型</w:t>
            </w:r>
          </w:p>
        </w:tc>
        <w:tc>
          <w:tcPr>
            <w:tcW w:w="587"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存储温度压力</w:t>
            </w:r>
          </w:p>
        </w:tc>
        <w:tc>
          <w:tcPr>
            <w:tcW w:w="323" w:type="pct"/>
            <w:gridSpan w:val="2"/>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c>
          <w:tcPr>
            <w:tcW w:w="685"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pct"/>
          <w:trHeight w:val="227" w:hRule="atLeast"/>
          <w:jc w:val="center"/>
        </w:trPr>
        <w:tc>
          <w:tcPr>
            <w:tcW w:w="244" w:type="pct"/>
            <w:noWrap w:val="0"/>
            <w:vAlign w:val="center"/>
          </w:tcPr>
          <w:p>
            <w:pPr>
              <w:pStyle w:val="5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w:t>
            </w:r>
          </w:p>
        </w:tc>
        <w:tc>
          <w:tcPr>
            <w:tcW w:w="928" w:type="pct"/>
            <w:noWrap w:val="0"/>
            <w:vAlign w:val="center"/>
          </w:tcPr>
          <w:p>
            <w:pPr>
              <w:pStyle w:val="5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八甲基环四硅氧烷</w:t>
            </w:r>
          </w:p>
        </w:tc>
        <w:tc>
          <w:tcPr>
            <w:tcW w:w="416"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385" w:type="pct"/>
            <w:gridSpan w:val="2"/>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w:t>
            </w:r>
          </w:p>
        </w:tc>
        <w:tc>
          <w:tcPr>
            <w:tcW w:w="322" w:type="pct"/>
            <w:noWrap w:val="0"/>
            <w:vAlign w:val="center"/>
          </w:tcPr>
          <w:p>
            <w:pPr>
              <w:pStyle w:val="5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4</w:t>
            </w:r>
          </w:p>
        </w:tc>
        <w:tc>
          <w:tcPr>
            <w:tcW w:w="666" w:type="pct"/>
            <w:gridSpan w:val="2"/>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Ф3.0×h7.1</w:t>
            </w:r>
          </w:p>
        </w:tc>
        <w:tc>
          <w:tcPr>
            <w:tcW w:w="431"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拱顶罐</w:t>
            </w:r>
          </w:p>
        </w:tc>
        <w:tc>
          <w:tcPr>
            <w:tcW w:w="587"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常温常压</w:t>
            </w:r>
          </w:p>
        </w:tc>
        <w:tc>
          <w:tcPr>
            <w:tcW w:w="323" w:type="pct"/>
            <w:gridSpan w:val="2"/>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685"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甲类罐区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pct"/>
          <w:trHeight w:val="227" w:hRule="atLeast"/>
          <w:jc w:val="center"/>
        </w:trPr>
        <w:tc>
          <w:tcPr>
            <w:tcW w:w="244" w:type="pct"/>
            <w:noWrap w:val="0"/>
            <w:vAlign w:val="center"/>
          </w:tcPr>
          <w:p>
            <w:pPr>
              <w:pStyle w:val="5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w:t>
            </w:r>
          </w:p>
        </w:tc>
        <w:tc>
          <w:tcPr>
            <w:tcW w:w="928" w:type="pct"/>
            <w:noWrap w:val="0"/>
            <w:vAlign w:val="center"/>
          </w:tcPr>
          <w:p>
            <w:pPr>
              <w:pStyle w:val="5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高</w:t>
            </w:r>
            <w:r>
              <w:rPr>
                <w:rFonts w:hint="default" w:ascii="Times New Roman" w:hAnsi="Times New Roman" w:eastAsia="宋体" w:cs="Times New Roman"/>
                <w:color w:val="auto"/>
                <w:sz w:val="21"/>
                <w:szCs w:val="21"/>
              </w:rPr>
              <w:t>含氢硅油</w:t>
            </w:r>
          </w:p>
        </w:tc>
        <w:tc>
          <w:tcPr>
            <w:tcW w:w="416"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385" w:type="pct"/>
            <w:gridSpan w:val="2"/>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w:t>
            </w:r>
          </w:p>
        </w:tc>
        <w:tc>
          <w:tcPr>
            <w:tcW w:w="322" w:type="pct"/>
            <w:noWrap w:val="0"/>
            <w:vAlign w:val="center"/>
          </w:tcPr>
          <w:p>
            <w:pPr>
              <w:pStyle w:val="5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9</w:t>
            </w:r>
          </w:p>
        </w:tc>
        <w:tc>
          <w:tcPr>
            <w:tcW w:w="666" w:type="pct"/>
            <w:gridSpan w:val="2"/>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Ф3×h7.1</w:t>
            </w:r>
          </w:p>
        </w:tc>
        <w:tc>
          <w:tcPr>
            <w:tcW w:w="431"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拱顶罐</w:t>
            </w:r>
          </w:p>
        </w:tc>
        <w:tc>
          <w:tcPr>
            <w:tcW w:w="587"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常温常压</w:t>
            </w:r>
          </w:p>
        </w:tc>
        <w:tc>
          <w:tcPr>
            <w:tcW w:w="323" w:type="pct"/>
            <w:gridSpan w:val="2"/>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685"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丙类罐区一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pct"/>
          <w:trHeight w:val="227" w:hRule="atLeast"/>
          <w:jc w:val="center"/>
        </w:trPr>
        <w:tc>
          <w:tcPr>
            <w:tcW w:w="244" w:type="pct"/>
            <w:noWrap w:val="0"/>
            <w:vAlign w:val="center"/>
          </w:tcPr>
          <w:p>
            <w:pPr>
              <w:pStyle w:val="5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3</w:t>
            </w:r>
          </w:p>
        </w:tc>
        <w:tc>
          <w:tcPr>
            <w:tcW w:w="928" w:type="pct"/>
            <w:noWrap w:val="0"/>
            <w:vAlign w:val="center"/>
          </w:tcPr>
          <w:p>
            <w:pPr>
              <w:pStyle w:val="5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低含氢硅油</w:t>
            </w:r>
          </w:p>
        </w:tc>
        <w:tc>
          <w:tcPr>
            <w:tcW w:w="416"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385" w:type="pct"/>
            <w:gridSpan w:val="2"/>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w:t>
            </w:r>
          </w:p>
        </w:tc>
        <w:tc>
          <w:tcPr>
            <w:tcW w:w="322" w:type="pct"/>
            <w:noWrap w:val="0"/>
            <w:vAlign w:val="center"/>
          </w:tcPr>
          <w:p>
            <w:pPr>
              <w:pStyle w:val="5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9</w:t>
            </w:r>
          </w:p>
        </w:tc>
        <w:tc>
          <w:tcPr>
            <w:tcW w:w="666" w:type="pct"/>
            <w:gridSpan w:val="2"/>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Ф3×h7.1</w:t>
            </w:r>
          </w:p>
        </w:tc>
        <w:tc>
          <w:tcPr>
            <w:tcW w:w="431"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拱顶罐</w:t>
            </w:r>
          </w:p>
        </w:tc>
        <w:tc>
          <w:tcPr>
            <w:tcW w:w="587"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常温常压</w:t>
            </w:r>
          </w:p>
        </w:tc>
        <w:tc>
          <w:tcPr>
            <w:tcW w:w="323" w:type="pct"/>
            <w:gridSpan w:val="2"/>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685"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丙类罐区一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pct"/>
          <w:trHeight w:val="227" w:hRule="atLeast"/>
          <w:jc w:val="center"/>
        </w:trPr>
        <w:tc>
          <w:tcPr>
            <w:tcW w:w="244" w:type="pct"/>
            <w:noWrap w:val="0"/>
            <w:vAlign w:val="center"/>
          </w:tcPr>
          <w:p>
            <w:pPr>
              <w:pStyle w:val="5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4</w:t>
            </w:r>
          </w:p>
        </w:tc>
        <w:tc>
          <w:tcPr>
            <w:tcW w:w="928" w:type="pct"/>
            <w:noWrap w:val="0"/>
            <w:vAlign w:val="center"/>
          </w:tcPr>
          <w:p>
            <w:pPr>
              <w:pStyle w:val="52"/>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烯丙基乙酰基聚醚</w:t>
            </w:r>
          </w:p>
        </w:tc>
        <w:tc>
          <w:tcPr>
            <w:tcW w:w="416"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385" w:type="pct"/>
            <w:gridSpan w:val="2"/>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w:t>
            </w:r>
          </w:p>
        </w:tc>
        <w:tc>
          <w:tcPr>
            <w:tcW w:w="322" w:type="pct"/>
            <w:noWrap w:val="0"/>
            <w:vAlign w:val="center"/>
          </w:tcPr>
          <w:p>
            <w:pPr>
              <w:pStyle w:val="5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w:t>
            </w:r>
          </w:p>
        </w:tc>
        <w:tc>
          <w:tcPr>
            <w:tcW w:w="666" w:type="pct"/>
            <w:gridSpan w:val="2"/>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Ф3×h7.1</w:t>
            </w:r>
          </w:p>
        </w:tc>
        <w:tc>
          <w:tcPr>
            <w:tcW w:w="431"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拱顶罐</w:t>
            </w:r>
          </w:p>
        </w:tc>
        <w:tc>
          <w:tcPr>
            <w:tcW w:w="587"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常温常压</w:t>
            </w:r>
          </w:p>
        </w:tc>
        <w:tc>
          <w:tcPr>
            <w:tcW w:w="323" w:type="pct"/>
            <w:gridSpan w:val="2"/>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685"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丙类罐区二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pct"/>
          <w:trHeight w:val="227" w:hRule="atLeast"/>
          <w:jc w:val="center"/>
        </w:trPr>
        <w:tc>
          <w:tcPr>
            <w:tcW w:w="244" w:type="pct"/>
            <w:noWrap w:val="0"/>
            <w:vAlign w:val="center"/>
          </w:tcPr>
          <w:p>
            <w:pPr>
              <w:pStyle w:val="5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5</w:t>
            </w:r>
          </w:p>
        </w:tc>
        <w:tc>
          <w:tcPr>
            <w:tcW w:w="928" w:type="pct"/>
            <w:noWrap w:val="0"/>
            <w:vAlign w:val="center"/>
          </w:tcPr>
          <w:p>
            <w:pPr>
              <w:pStyle w:val="5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烯丙基聚醚</w:t>
            </w:r>
          </w:p>
        </w:tc>
        <w:tc>
          <w:tcPr>
            <w:tcW w:w="416"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385" w:type="pct"/>
            <w:gridSpan w:val="2"/>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w:t>
            </w:r>
          </w:p>
        </w:tc>
        <w:tc>
          <w:tcPr>
            <w:tcW w:w="322" w:type="pct"/>
            <w:noWrap w:val="0"/>
            <w:vAlign w:val="center"/>
          </w:tcPr>
          <w:p>
            <w:pPr>
              <w:pStyle w:val="5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3</w:t>
            </w:r>
          </w:p>
        </w:tc>
        <w:tc>
          <w:tcPr>
            <w:tcW w:w="666" w:type="pct"/>
            <w:gridSpan w:val="2"/>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Ф3×h7.1</w:t>
            </w:r>
          </w:p>
        </w:tc>
        <w:tc>
          <w:tcPr>
            <w:tcW w:w="431"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拱顶罐</w:t>
            </w:r>
          </w:p>
        </w:tc>
        <w:tc>
          <w:tcPr>
            <w:tcW w:w="587"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常温常压</w:t>
            </w:r>
          </w:p>
        </w:tc>
        <w:tc>
          <w:tcPr>
            <w:tcW w:w="323" w:type="pct"/>
            <w:gridSpan w:val="2"/>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685"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丙类罐区二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pct"/>
          <w:trHeight w:val="227" w:hRule="atLeast"/>
          <w:jc w:val="center"/>
        </w:trPr>
        <w:tc>
          <w:tcPr>
            <w:tcW w:w="244" w:type="pct"/>
            <w:noWrap w:val="0"/>
            <w:vAlign w:val="center"/>
          </w:tcPr>
          <w:p>
            <w:pPr>
              <w:pStyle w:val="5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6</w:t>
            </w:r>
          </w:p>
        </w:tc>
        <w:tc>
          <w:tcPr>
            <w:tcW w:w="928" w:type="pct"/>
            <w:noWrap w:val="0"/>
            <w:vAlign w:val="center"/>
          </w:tcPr>
          <w:p>
            <w:pPr>
              <w:pStyle w:val="5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烯丙基聚醚</w:t>
            </w:r>
          </w:p>
        </w:tc>
        <w:tc>
          <w:tcPr>
            <w:tcW w:w="416"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385" w:type="pct"/>
            <w:gridSpan w:val="2"/>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w:t>
            </w:r>
          </w:p>
        </w:tc>
        <w:tc>
          <w:tcPr>
            <w:tcW w:w="322" w:type="pct"/>
            <w:noWrap w:val="0"/>
            <w:vAlign w:val="center"/>
          </w:tcPr>
          <w:p>
            <w:pPr>
              <w:pStyle w:val="52"/>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3</w:t>
            </w:r>
          </w:p>
        </w:tc>
        <w:tc>
          <w:tcPr>
            <w:tcW w:w="666" w:type="pct"/>
            <w:gridSpan w:val="2"/>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Ф3×h7.1</w:t>
            </w:r>
          </w:p>
        </w:tc>
        <w:tc>
          <w:tcPr>
            <w:tcW w:w="431"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拱顶罐</w:t>
            </w:r>
          </w:p>
        </w:tc>
        <w:tc>
          <w:tcPr>
            <w:tcW w:w="587"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常温常压</w:t>
            </w:r>
          </w:p>
        </w:tc>
        <w:tc>
          <w:tcPr>
            <w:tcW w:w="323" w:type="pct"/>
            <w:gridSpan w:val="2"/>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685" w:type="pct"/>
            <w:noWrap w:val="0"/>
            <w:vAlign w:val="center"/>
          </w:tcPr>
          <w:p>
            <w:pPr>
              <w:pStyle w:val="5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丙类罐区二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pct"/>
          <w:trHeight w:val="227" w:hRule="atLeast"/>
          <w:jc w:val="center"/>
        </w:trPr>
        <w:tc>
          <w:tcPr>
            <w:tcW w:w="4991" w:type="pct"/>
            <w:gridSpan w:val="13"/>
            <w:noWrap w:val="0"/>
            <w:vAlign w:val="center"/>
          </w:tcPr>
          <w:p>
            <w:pPr>
              <w:pStyle w:val="5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8" w:type="pct"/>
          <w:trHeight w:val="227" w:hRule="atLeast"/>
          <w:jc w:val="center"/>
        </w:trPr>
        <w:tc>
          <w:tcPr>
            <w:tcW w:w="244" w:type="pct"/>
            <w:noWrap w:val="0"/>
            <w:vAlign w:val="center"/>
          </w:tcPr>
          <w:p>
            <w:pPr>
              <w:pStyle w:val="52"/>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编号</w:t>
            </w:r>
          </w:p>
        </w:tc>
        <w:tc>
          <w:tcPr>
            <w:tcW w:w="1711" w:type="pct"/>
            <w:gridSpan w:val="3"/>
            <w:noWrap w:val="0"/>
            <w:vAlign w:val="center"/>
          </w:tcPr>
          <w:p>
            <w:pPr>
              <w:pStyle w:val="5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存储物料</w:t>
            </w:r>
          </w:p>
        </w:tc>
        <w:tc>
          <w:tcPr>
            <w:tcW w:w="765" w:type="pct"/>
            <w:gridSpan w:val="3"/>
            <w:noWrap w:val="0"/>
            <w:vAlign w:val="center"/>
          </w:tcPr>
          <w:p>
            <w:pPr>
              <w:pStyle w:val="52"/>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包装方式</w:t>
            </w:r>
          </w:p>
        </w:tc>
        <w:tc>
          <w:tcPr>
            <w:tcW w:w="673" w:type="pct"/>
            <w:gridSpan w:val="2"/>
            <w:noWrap w:val="0"/>
            <w:vAlign w:val="center"/>
          </w:tcPr>
          <w:p>
            <w:pPr>
              <w:pStyle w:val="52"/>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性质</w:t>
            </w:r>
          </w:p>
        </w:tc>
        <w:tc>
          <w:tcPr>
            <w:tcW w:w="674" w:type="pct"/>
            <w:gridSpan w:val="2"/>
            <w:noWrap w:val="0"/>
            <w:vAlign w:val="center"/>
          </w:tcPr>
          <w:p>
            <w:pPr>
              <w:pStyle w:val="52"/>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用量</w:t>
            </w:r>
          </w:p>
        </w:tc>
        <w:tc>
          <w:tcPr>
            <w:tcW w:w="921" w:type="pct"/>
            <w:gridSpan w:val="2"/>
            <w:noWrap w:val="0"/>
            <w:vAlign w:val="center"/>
          </w:tcPr>
          <w:p>
            <w:pPr>
              <w:pStyle w:val="52"/>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位置</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2" w:hRule="atLeast"/>
          <w:tblHeader/>
          <w:jc w:val="center"/>
        </w:trPr>
        <w:tc>
          <w:tcPr>
            <w:tcW w:w="244" w:type="pct"/>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1</w:t>
            </w:r>
          </w:p>
        </w:tc>
        <w:tc>
          <w:tcPr>
            <w:tcW w:w="1711"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六甲基二硅氧烷</w:t>
            </w:r>
          </w:p>
        </w:tc>
        <w:tc>
          <w:tcPr>
            <w:tcW w:w="765"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桶装</w:t>
            </w:r>
          </w:p>
        </w:tc>
        <w:tc>
          <w:tcPr>
            <w:tcW w:w="673" w:type="pct"/>
            <w:gridSpan w:val="2"/>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液体</w:t>
            </w:r>
          </w:p>
        </w:tc>
        <w:tc>
          <w:tcPr>
            <w:tcW w:w="674" w:type="pct"/>
            <w:gridSpan w:val="2"/>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10.5</w:t>
            </w:r>
          </w:p>
        </w:tc>
        <w:tc>
          <w:tcPr>
            <w:tcW w:w="930"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lang w:val="en-US" w:eastAsia="zh-CN"/>
              </w:rPr>
              <w:t>甲</w:t>
            </w:r>
            <w:r>
              <w:rPr>
                <w:rFonts w:hint="default" w:ascii="Times New Roman" w:hAnsi="Times New Roman" w:cs="Times New Roman"/>
                <w:sz w:val="21"/>
                <w:szCs w:val="21"/>
                <w:lang w:eastAsia="zh-CN"/>
              </w:rPr>
              <w:t>类</w:t>
            </w:r>
            <w:r>
              <w:rPr>
                <w:rFonts w:hint="default" w:ascii="Times New Roman" w:hAnsi="Times New Roman" w:cs="Times New Roman"/>
                <w:sz w:val="21"/>
                <w:szCs w:val="21"/>
              </w:rPr>
              <w:t>仓库</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2" w:hRule="atLeast"/>
          <w:tblHeader/>
          <w:jc w:val="center"/>
        </w:trPr>
        <w:tc>
          <w:tcPr>
            <w:tcW w:w="244" w:type="pct"/>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2</w:t>
            </w:r>
          </w:p>
        </w:tc>
        <w:tc>
          <w:tcPr>
            <w:tcW w:w="1711"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酸性白土</w:t>
            </w:r>
          </w:p>
        </w:tc>
        <w:tc>
          <w:tcPr>
            <w:tcW w:w="765"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袋装</w:t>
            </w:r>
          </w:p>
        </w:tc>
        <w:tc>
          <w:tcPr>
            <w:tcW w:w="673" w:type="pct"/>
            <w:gridSpan w:val="2"/>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固体</w:t>
            </w:r>
          </w:p>
        </w:tc>
        <w:tc>
          <w:tcPr>
            <w:tcW w:w="674" w:type="pct"/>
            <w:gridSpan w:val="2"/>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1.7</w:t>
            </w:r>
          </w:p>
        </w:tc>
        <w:tc>
          <w:tcPr>
            <w:tcW w:w="930"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lang w:eastAsia="zh-CN"/>
              </w:rPr>
              <w:t>丙类</w:t>
            </w:r>
            <w:r>
              <w:rPr>
                <w:rFonts w:hint="default" w:ascii="Times New Roman" w:hAnsi="Times New Roman" w:cs="Times New Roman"/>
                <w:sz w:val="21"/>
                <w:szCs w:val="21"/>
              </w:rPr>
              <w:t>仓库</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2" w:hRule="atLeast"/>
          <w:tblHeader/>
          <w:jc w:val="center"/>
        </w:trPr>
        <w:tc>
          <w:tcPr>
            <w:tcW w:w="244" w:type="pct"/>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3</w:t>
            </w:r>
          </w:p>
        </w:tc>
        <w:tc>
          <w:tcPr>
            <w:tcW w:w="1711"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硅藻土</w:t>
            </w:r>
          </w:p>
        </w:tc>
        <w:tc>
          <w:tcPr>
            <w:tcW w:w="765"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袋装</w:t>
            </w:r>
          </w:p>
        </w:tc>
        <w:tc>
          <w:tcPr>
            <w:tcW w:w="673" w:type="pct"/>
            <w:gridSpan w:val="2"/>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固体</w:t>
            </w:r>
          </w:p>
        </w:tc>
        <w:tc>
          <w:tcPr>
            <w:tcW w:w="674" w:type="pct"/>
            <w:gridSpan w:val="2"/>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1.7</w:t>
            </w:r>
          </w:p>
        </w:tc>
        <w:tc>
          <w:tcPr>
            <w:tcW w:w="930"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丙类</w:t>
            </w:r>
            <w:r>
              <w:rPr>
                <w:rFonts w:hint="default" w:ascii="Times New Roman" w:hAnsi="Times New Roman" w:cs="Times New Roman"/>
                <w:sz w:val="21"/>
                <w:szCs w:val="21"/>
              </w:rPr>
              <w:t>仓库</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blHeader/>
          <w:jc w:val="center"/>
        </w:trPr>
        <w:tc>
          <w:tcPr>
            <w:tcW w:w="244" w:type="pct"/>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4</w:t>
            </w:r>
          </w:p>
        </w:tc>
        <w:tc>
          <w:tcPr>
            <w:tcW w:w="1711"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二丁基乙醇胺</w:t>
            </w:r>
          </w:p>
        </w:tc>
        <w:tc>
          <w:tcPr>
            <w:tcW w:w="765"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桶装</w:t>
            </w:r>
          </w:p>
        </w:tc>
        <w:tc>
          <w:tcPr>
            <w:tcW w:w="673" w:type="pct"/>
            <w:gridSpan w:val="2"/>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液体</w:t>
            </w:r>
          </w:p>
        </w:tc>
        <w:tc>
          <w:tcPr>
            <w:tcW w:w="674" w:type="pct"/>
            <w:gridSpan w:val="2"/>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0.3</w:t>
            </w:r>
          </w:p>
        </w:tc>
        <w:tc>
          <w:tcPr>
            <w:tcW w:w="930"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lang w:eastAsia="zh-CN"/>
              </w:rPr>
              <w:t>丙类</w:t>
            </w:r>
            <w:r>
              <w:rPr>
                <w:rFonts w:hint="default" w:ascii="Times New Roman" w:hAnsi="Times New Roman" w:cs="Times New Roman"/>
                <w:sz w:val="21"/>
                <w:szCs w:val="21"/>
              </w:rPr>
              <w:t>仓库</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blHeader/>
          <w:jc w:val="center"/>
        </w:trPr>
        <w:tc>
          <w:tcPr>
            <w:tcW w:w="244" w:type="pct"/>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5</w:t>
            </w:r>
          </w:p>
        </w:tc>
        <w:tc>
          <w:tcPr>
            <w:tcW w:w="1711"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甲基聚醚</w:t>
            </w:r>
          </w:p>
        </w:tc>
        <w:tc>
          <w:tcPr>
            <w:tcW w:w="765"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桶装</w:t>
            </w:r>
          </w:p>
        </w:tc>
        <w:tc>
          <w:tcPr>
            <w:tcW w:w="673" w:type="pct"/>
            <w:gridSpan w:val="2"/>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液体</w:t>
            </w:r>
          </w:p>
        </w:tc>
        <w:tc>
          <w:tcPr>
            <w:tcW w:w="674" w:type="pct"/>
            <w:gridSpan w:val="2"/>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0.2</w:t>
            </w:r>
          </w:p>
        </w:tc>
        <w:tc>
          <w:tcPr>
            <w:tcW w:w="930"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lang w:eastAsia="zh-CN"/>
              </w:rPr>
              <w:t>丙类</w:t>
            </w:r>
            <w:r>
              <w:rPr>
                <w:rFonts w:hint="default" w:ascii="Times New Roman" w:hAnsi="Times New Roman" w:cs="Times New Roman"/>
                <w:sz w:val="21"/>
                <w:szCs w:val="21"/>
              </w:rPr>
              <w:t>仓库</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blHeader/>
          <w:jc w:val="center"/>
        </w:trPr>
        <w:tc>
          <w:tcPr>
            <w:tcW w:w="244" w:type="pct"/>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w:t>
            </w:r>
          </w:p>
        </w:tc>
        <w:tc>
          <w:tcPr>
            <w:tcW w:w="1711"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sz w:val="21"/>
                <w:szCs w:val="21"/>
                <w:highlight w:val="none"/>
                <w:lang w:val="en-US" w:eastAsia="zh-CN"/>
              </w:rPr>
              <w:t>异丙醇</w:t>
            </w:r>
          </w:p>
        </w:tc>
        <w:tc>
          <w:tcPr>
            <w:tcW w:w="765"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桶装</w:t>
            </w:r>
          </w:p>
        </w:tc>
        <w:tc>
          <w:tcPr>
            <w:tcW w:w="673" w:type="pct"/>
            <w:gridSpan w:val="2"/>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液体</w:t>
            </w:r>
          </w:p>
        </w:tc>
        <w:tc>
          <w:tcPr>
            <w:tcW w:w="674" w:type="pct"/>
            <w:gridSpan w:val="2"/>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1</w:t>
            </w:r>
            <w:r>
              <w:rPr>
                <w:rFonts w:hint="default" w:ascii="Times New Roman" w:hAnsi="Times New Roman" w:cs="Times New Roman"/>
                <w:sz w:val="21"/>
                <w:szCs w:val="21"/>
                <w:highlight w:val="none"/>
                <w:lang w:val="en-US" w:eastAsia="zh-CN"/>
              </w:rPr>
              <w:t>0</w:t>
            </w:r>
          </w:p>
        </w:tc>
        <w:tc>
          <w:tcPr>
            <w:tcW w:w="930"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甲类仓库</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blHeader/>
          <w:jc w:val="center"/>
        </w:trPr>
        <w:tc>
          <w:tcPr>
            <w:tcW w:w="244" w:type="pct"/>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w:t>
            </w:r>
          </w:p>
        </w:tc>
        <w:tc>
          <w:tcPr>
            <w:tcW w:w="1711"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10%的卡斯泰德催化剂乙醇溶液</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1,3-二乙烯基-1,1,3,3-四甲基二硅氧烷、乙醇</w:t>
            </w:r>
            <w:r>
              <w:rPr>
                <w:rFonts w:hint="default" w:ascii="Times New Roman" w:hAnsi="Times New Roman" w:cs="Times New Roman"/>
                <w:sz w:val="21"/>
                <w:szCs w:val="21"/>
                <w:lang w:eastAsia="zh-CN"/>
              </w:rPr>
              <w:t>）</w:t>
            </w:r>
          </w:p>
        </w:tc>
        <w:tc>
          <w:tcPr>
            <w:tcW w:w="765"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瓶装</w:t>
            </w:r>
          </w:p>
        </w:tc>
        <w:tc>
          <w:tcPr>
            <w:tcW w:w="673" w:type="pct"/>
            <w:gridSpan w:val="2"/>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液体</w:t>
            </w:r>
          </w:p>
        </w:tc>
        <w:tc>
          <w:tcPr>
            <w:tcW w:w="674" w:type="pct"/>
            <w:gridSpan w:val="2"/>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0.18</w:t>
            </w:r>
          </w:p>
        </w:tc>
        <w:tc>
          <w:tcPr>
            <w:tcW w:w="930"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甲类仓库</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blHeader/>
          <w:jc w:val="center"/>
        </w:trPr>
        <w:tc>
          <w:tcPr>
            <w:tcW w:w="244" w:type="pct"/>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8</w:t>
            </w:r>
          </w:p>
        </w:tc>
        <w:tc>
          <w:tcPr>
            <w:tcW w:w="1711"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10%双氧水</w:t>
            </w:r>
          </w:p>
        </w:tc>
        <w:tc>
          <w:tcPr>
            <w:tcW w:w="765"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桶装</w:t>
            </w:r>
          </w:p>
        </w:tc>
        <w:tc>
          <w:tcPr>
            <w:tcW w:w="673" w:type="pct"/>
            <w:gridSpan w:val="2"/>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液体</w:t>
            </w:r>
          </w:p>
        </w:tc>
        <w:tc>
          <w:tcPr>
            <w:tcW w:w="674" w:type="pct"/>
            <w:gridSpan w:val="2"/>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1.5</w:t>
            </w:r>
          </w:p>
        </w:tc>
        <w:tc>
          <w:tcPr>
            <w:tcW w:w="930"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甲类仓库</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blHeader/>
          <w:jc w:val="center"/>
        </w:trPr>
        <w:tc>
          <w:tcPr>
            <w:tcW w:w="244" w:type="pct"/>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val="en-US" w:eastAsia="zh-CN"/>
              </w:rPr>
              <w:t>9</w:t>
            </w:r>
          </w:p>
        </w:tc>
        <w:tc>
          <w:tcPr>
            <w:tcW w:w="1711"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特种硅油</w:t>
            </w:r>
          </w:p>
        </w:tc>
        <w:tc>
          <w:tcPr>
            <w:tcW w:w="765"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桶装</w:t>
            </w:r>
          </w:p>
        </w:tc>
        <w:tc>
          <w:tcPr>
            <w:tcW w:w="673" w:type="pct"/>
            <w:gridSpan w:val="2"/>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液体</w:t>
            </w:r>
          </w:p>
        </w:tc>
        <w:tc>
          <w:tcPr>
            <w:tcW w:w="674" w:type="pct"/>
            <w:gridSpan w:val="2"/>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150</w:t>
            </w:r>
          </w:p>
        </w:tc>
        <w:tc>
          <w:tcPr>
            <w:tcW w:w="930" w:type="pct"/>
            <w:gridSpan w:val="3"/>
            <w:tcBorders>
              <w:top w:val="single" w:color="auto" w:sz="4" w:space="0"/>
              <w:left w:val="single" w:color="auto" w:sz="4" w:space="0"/>
              <w:bottom w:val="single" w:color="auto" w:sz="4" w:space="0"/>
              <w:right w:val="single" w:color="auto" w:sz="4" w:space="0"/>
            </w:tcBorders>
            <w:noWrap w:val="0"/>
            <w:vAlign w:val="center"/>
          </w:tcPr>
          <w:p>
            <w:pPr>
              <w:pStyle w:val="52"/>
              <w:rPr>
                <w:rFonts w:hint="default" w:ascii="Times New Roman" w:hAnsi="Times New Roman" w:cs="Times New Roman"/>
                <w:sz w:val="21"/>
                <w:szCs w:val="21"/>
              </w:rPr>
            </w:pPr>
            <w:r>
              <w:rPr>
                <w:rFonts w:hint="default" w:ascii="Times New Roman" w:hAnsi="Times New Roman" w:cs="Times New Roman"/>
                <w:sz w:val="21"/>
                <w:szCs w:val="21"/>
              </w:rPr>
              <w:t>甲类仓库</w:t>
            </w:r>
          </w:p>
        </w:tc>
      </w:tr>
    </w:tbl>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63" w:name="_Toc13847364"/>
      <w:bookmarkStart w:id="64" w:name="_Toc531519924"/>
      <w:bookmarkStart w:id="65" w:name="_Toc534203165"/>
      <w:bookmarkStart w:id="66" w:name="_Toc18248"/>
      <w:r>
        <w:rPr>
          <w:rFonts w:hint="eastAsia" w:ascii="Times New Roman" w:hAnsi="Times New Roman"/>
          <w:b/>
          <w:bCs/>
          <w:sz w:val="28"/>
          <w:szCs w:val="32"/>
        </w:rPr>
        <w:t>4</w:t>
      </w:r>
      <w:r>
        <w:rPr>
          <w:rFonts w:ascii="Times New Roman" w:hAnsi="Times New Roman"/>
          <w:b/>
          <w:bCs/>
          <w:sz w:val="28"/>
          <w:szCs w:val="32"/>
        </w:rPr>
        <w:t>.</w:t>
      </w:r>
      <w:r>
        <w:rPr>
          <w:rFonts w:hint="eastAsia" w:ascii="Times New Roman" w:hAnsi="Times New Roman"/>
          <w:b/>
          <w:bCs/>
          <w:sz w:val="28"/>
          <w:szCs w:val="32"/>
        </w:rPr>
        <w:t>3主要生产工艺</w:t>
      </w:r>
      <w:bookmarkEnd w:id="63"/>
      <w:bookmarkEnd w:id="64"/>
      <w:bookmarkEnd w:id="65"/>
      <w:bookmarkEnd w:id="6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kern w:val="0"/>
          <w:sz w:val="24"/>
          <w:szCs w:val="21"/>
          <w:lang w:val="en-US" w:eastAsia="zh-CN" w:bidi="ar-SA"/>
        </w:rPr>
        <w:t>目前企业仅建成年产6000吨聚氨酯用特种硅油，并进入试生产阶段，其余项目正在筹建中。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kern w:val="0"/>
          <w:sz w:val="24"/>
          <w:szCs w:val="21"/>
          <w:lang w:val="en-US" w:eastAsia="zh-CN" w:bidi="ar-SA"/>
        </w:rPr>
        <w:t>聚氨酯用特种硅油生产包括三个步骤：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kern w:val="0"/>
          <w:sz w:val="24"/>
          <w:szCs w:val="21"/>
          <w:lang w:val="en-US" w:eastAsia="zh-CN" w:bidi="ar-SA"/>
        </w:rPr>
        <w:t>（1）低含氢硅油制备：将八甲基环四硅氧烷与高含氢硅油，六甲基二硅氧烷开环聚合反应，得到低含氢硅油。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1"/>
          <w:lang w:val="en-US" w:eastAsia="zh-CN" w:bidi="ar-SA"/>
        </w:rPr>
      </w:pPr>
      <w:r>
        <w:rPr>
          <w:rFonts w:hint="default" w:ascii="Times New Roman" w:hAnsi="Times New Roman" w:eastAsia="宋体" w:cs="Times New Roman"/>
          <w:color w:val="auto"/>
          <w:kern w:val="0"/>
          <w:sz w:val="24"/>
          <w:szCs w:val="21"/>
          <w:lang w:val="en-US" w:eastAsia="zh-CN" w:bidi="ar-SA"/>
        </w:rPr>
        <w:t>（2）乙酰基封端烯丙基聚醚制备：将烯丙基聚醚与醋酸酐酯化反应，得到乙酰基封端烯丙基聚醚。（现乙酰基封端烯丙基聚醚材料外购）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kern w:val="0"/>
          <w:sz w:val="24"/>
          <w:szCs w:val="24"/>
        </w:rPr>
      </w:pPr>
      <w:r>
        <w:rPr>
          <w:rFonts w:hint="default" w:ascii="Times New Roman" w:hAnsi="Times New Roman" w:eastAsia="宋体" w:cs="Times New Roman"/>
          <w:color w:val="auto"/>
          <w:kern w:val="0"/>
          <w:sz w:val="24"/>
          <w:szCs w:val="21"/>
          <w:lang w:val="en-US" w:eastAsia="zh-CN" w:bidi="ar-SA"/>
        </w:rPr>
        <w:t>（3）聚氨酯用特种硅油合成：将制得的低含氢硅油与制得的乙酰基封端烯丙基聚醚或外购的烯丙基聚醚加成反应得到所需聚氨酯用特种硅油。</w:t>
      </w:r>
    </w:p>
    <w:p>
      <w:pPr>
        <w:keepNext/>
        <w:keepLines/>
        <w:spacing w:line="500" w:lineRule="exact"/>
        <w:outlineLvl w:val="2"/>
        <w:rPr>
          <w:rFonts w:ascii="Times New Roman" w:hAnsi="Times New Roman"/>
          <w:b/>
          <w:bCs/>
          <w:sz w:val="24"/>
          <w:szCs w:val="32"/>
        </w:rPr>
      </w:pPr>
      <w:bookmarkStart w:id="67" w:name="_Toc13852916"/>
      <w:bookmarkStart w:id="68" w:name="_Toc530494150"/>
      <w:bookmarkStart w:id="69" w:name="_Toc13847365"/>
      <w:bookmarkStart w:id="70" w:name="_Toc534203166"/>
      <w:bookmarkStart w:id="71" w:name="_Toc529301405"/>
      <w:bookmarkStart w:id="72" w:name="_Toc10836"/>
      <w:r>
        <w:rPr>
          <w:rFonts w:hint="eastAsia" w:ascii="Times New Roman" w:hAnsi="Times New Roman"/>
          <w:b/>
          <w:bCs/>
          <w:sz w:val="24"/>
          <w:szCs w:val="32"/>
        </w:rPr>
        <w:t>4.3</w:t>
      </w:r>
      <w:r>
        <w:rPr>
          <w:rFonts w:ascii="Times New Roman" w:hAnsi="Times New Roman"/>
          <w:b/>
          <w:bCs/>
          <w:sz w:val="24"/>
          <w:szCs w:val="32"/>
        </w:rPr>
        <w:t>.1</w:t>
      </w:r>
      <w:bookmarkEnd w:id="67"/>
      <w:bookmarkEnd w:id="68"/>
      <w:bookmarkEnd w:id="69"/>
      <w:bookmarkEnd w:id="70"/>
      <w:bookmarkEnd w:id="71"/>
      <w:r>
        <w:rPr>
          <w:rFonts w:hint="default" w:ascii="Times New Roman" w:hAnsi="Times New Roman" w:eastAsia="宋体" w:cs="Times New Roman"/>
          <w:b/>
          <w:bCs w:val="0"/>
          <w:kern w:val="44"/>
          <w:sz w:val="24"/>
          <w:szCs w:val="24"/>
          <w:lang w:val="en-US" w:eastAsia="zh-CN" w:bidi="ar-SA"/>
        </w:rPr>
        <w:t>低含氢硅油制备</w:t>
      </w:r>
      <w:bookmarkEnd w:id="72"/>
    </w:p>
    <w:p>
      <w:pPr>
        <w:pStyle w:val="5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（1）反应方程式</w:t>
      </w:r>
    </w:p>
    <w:p>
      <w:pPr>
        <w:pStyle w:val="5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object>
          <v:shape id="_x0000_i1025" o:spt="75" type="#_x0000_t75" style="height:169.3pt;width:420.25pt;" o:ole="t" filled="f" stroked="f" coordsize="21600,21600">
            <v:path/>
            <v:fill on="f" focussize="0,0"/>
            <v:stroke on="f"/>
            <v:imagedata r:id="rId11" o:title=""/>
            <o:lock v:ext="edit" aspectratio="t"/>
            <w10:wrap type="none"/>
            <w10:anchorlock/>
          </v:shape>
          <o:OLEObject Type="Embed" ProgID="Unknown" ShapeID="_x0000_i1025" DrawAspect="Content" ObjectID="_1468075725" r:id="rId10">
            <o:LockedField>false</o:LockedField>
          </o:OLEObject>
        </w:object>
      </w:r>
    </w:p>
    <w:p>
      <w:pPr>
        <w:pStyle w:val="5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（2）生产工艺及产污环节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氮气保护下将高含氢硅油、八甲基环四硅氧烷、六甲基二硅氧烷（作为封端剂）通过泵密闭输送至硅氢反应釜，采用导管贴壁给料方式，通过反应釜自带搅拌器搅拌混合均匀，在氮气保护下情况下人工投料加入酸性白土（硅酸镁铝，作催化剂），氮气保护下通过夹套（热源为蒸汽，通过热油板式换热器用蒸汽加热热媒——导热油，然后导热油再通过夹套加热反应釜，下同）加热至40~80℃（具体反应温度根据具体产品系列确定），密闭条件下反应约12小时得到所需低含氢硅油中间产物，通过冷油板式换热器冷却降温至常温（40度以下）后所得产物放料板框压滤机初步过滤，再使用袋式过滤器二次过滤，为确保过滤效果，需投加硅藻土作助滤剂，过滤去除酸性白土即得到产物送储罐备用。滤渣作固废（S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工艺流程及产污环节详见图</w:t>
      </w: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3-1</w:t>
      </w:r>
      <w:r>
        <w:rPr>
          <w:rFonts w:hint="default" w:ascii="Times New Roman" w:hAnsi="Times New Roman" w:eastAsia="宋体" w:cs="Times New Roman"/>
          <w:sz w:val="24"/>
          <w:szCs w:val="24"/>
        </w:rPr>
        <w:t>。</w:t>
      </w:r>
    </w:p>
    <w:p>
      <w:pPr>
        <w:pStyle w:val="5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object>
          <v:shape id="_x0000_i1026" o:spt="75" type="#_x0000_t75" style="height:237.55pt;width:327.25pt;" o:ole="t" filled="f" o:preferrelative="t" stroked="f" coordsize="21600,21600">
            <v:path/>
            <v:fill on="f" alignshape="1" focussize="0,0"/>
            <v:stroke on="f"/>
            <v:imagedata r:id="rId13" o:title=""/>
            <o:lock v:ext="edit" aspectratio="t"/>
            <w10:wrap type="none"/>
            <w10:anchorlock/>
          </v:shape>
          <o:OLEObject Type="Embed" ProgID="SmartDraw.2" ShapeID="_x0000_i1026" DrawAspect="Content" ObjectID="_1468075726" r:id="rId12">
            <o:LockedField>false</o:LockedField>
          </o:OLEObject>
        </w:object>
      </w:r>
    </w:p>
    <w:p>
      <w:pPr>
        <w:widowControl/>
        <w:jc w:val="center"/>
        <w:rPr>
          <w:rFonts w:ascii="Times New Roman" w:hAnsi="Times New Roman"/>
          <w:b/>
          <w:kern w:val="0"/>
          <w:sz w:val="24"/>
          <w:szCs w:val="24"/>
        </w:rPr>
      </w:pPr>
      <w:r>
        <w:rPr>
          <w:rFonts w:hint="default" w:ascii="Times New Roman" w:hAnsi="Times New Roman" w:eastAsia="宋体" w:cs="Times New Roman"/>
          <w:b/>
          <w:bCs/>
          <w:sz w:val="24"/>
          <w:szCs w:val="24"/>
        </w:rPr>
        <w:t>图</w:t>
      </w:r>
      <w:r>
        <w:rPr>
          <w:rFonts w:hint="eastAsia" w:ascii="Times New Roman" w:hAnsi="Times New Roman" w:cs="Times New Roman"/>
          <w:b/>
          <w:bCs/>
          <w:sz w:val="24"/>
          <w:szCs w:val="24"/>
          <w:lang w:val="en-US" w:eastAsia="zh-CN"/>
        </w:rPr>
        <w:t>4</w:t>
      </w:r>
      <w:r>
        <w:rPr>
          <w:rFonts w:hint="default" w:ascii="Times New Roman" w:hAnsi="Times New Roman" w:eastAsia="宋体" w:cs="Times New Roman"/>
          <w:b/>
          <w:bCs/>
          <w:sz w:val="24"/>
          <w:szCs w:val="24"/>
          <w:lang w:val="en-US" w:eastAsia="zh-CN"/>
        </w:rPr>
        <w:t>.</w:t>
      </w:r>
      <w:r>
        <w:rPr>
          <w:rFonts w:hint="eastAsia" w:ascii="Times New Roman" w:hAnsi="Times New Roman" w:cs="Times New Roman"/>
          <w:b/>
          <w:bCs/>
          <w:sz w:val="24"/>
          <w:szCs w:val="24"/>
          <w:lang w:val="en-US" w:eastAsia="zh-CN"/>
        </w:rPr>
        <w:t>3-1</w:t>
      </w:r>
      <w:r>
        <w:rPr>
          <w:rFonts w:hint="default" w:ascii="Times New Roman" w:hAnsi="Times New Roman" w:eastAsia="宋体" w:cs="Times New Roman"/>
          <w:b/>
          <w:bCs/>
          <w:sz w:val="24"/>
          <w:szCs w:val="24"/>
        </w:rPr>
        <w:t xml:space="preserve">  低含氢硅油制备流程及产污环节示意图</w:t>
      </w:r>
    </w:p>
    <w:p>
      <w:pPr>
        <w:keepNext/>
        <w:keepLines/>
        <w:spacing w:line="500" w:lineRule="exact"/>
        <w:outlineLvl w:val="2"/>
        <w:rPr>
          <w:rFonts w:ascii="Times New Roman" w:hAnsi="Times New Roman"/>
          <w:b/>
          <w:bCs/>
          <w:sz w:val="24"/>
          <w:szCs w:val="32"/>
        </w:rPr>
      </w:pPr>
      <w:bookmarkStart w:id="73" w:name="_Toc13852917"/>
      <w:bookmarkStart w:id="74" w:name="_Toc13847366"/>
      <w:bookmarkStart w:id="75" w:name="_Toc530494151"/>
      <w:bookmarkStart w:id="76" w:name="_Toc534203167"/>
      <w:bookmarkStart w:id="77" w:name="_Toc19606"/>
      <w:r>
        <w:rPr>
          <w:rFonts w:hint="eastAsia" w:ascii="Times New Roman" w:hAnsi="Times New Roman"/>
          <w:b/>
          <w:bCs/>
          <w:sz w:val="24"/>
          <w:szCs w:val="32"/>
        </w:rPr>
        <w:t>4.3</w:t>
      </w:r>
      <w:r>
        <w:rPr>
          <w:rFonts w:ascii="Times New Roman" w:hAnsi="Times New Roman"/>
          <w:b/>
          <w:bCs/>
          <w:sz w:val="24"/>
          <w:szCs w:val="32"/>
        </w:rPr>
        <w:t>.</w:t>
      </w:r>
      <w:r>
        <w:rPr>
          <w:rFonts w:hint="eastAsia" w:ascii="Times New Roman" w:hAnsi="Times New Roman"/>
          <w:b/>
          <w:bCs/>
          <w:sz w:val="24"/>
          <w:szCs w:val="32"/>
        </w:rPr>
        <w:t>2</w:t>
      </w:r>
      <w:bookmarkEnd w:id="73"/>
      <w:bookmarkEnd w:id="74"/>
      <w:bookmarkEnd w:id="75"/>
      <w:bookmarkEnd w:id="76"/>
      <w:r>
        <w:rPr>
          <w:rFonts w:hint="default" w:ascii="Times New Roman" w:hAnsi="Times New Roman" w:eastAsia="宋体" w:cs="Times New Roman"/>
          <w:b/>
          <w:bCs w:val="0"/>
          <w:kern w:val="44"/>
          <w:sz w:val="24"/>
          <w:szCs w:val="24"/>
          <w:lang w:val="en-US" w:eastAsia="zh-CN" w:bidi="ar-SA"/>
        </w:rPr>
        <w:t>聚氨酯用特种硅油合成</w:t>
      </w:r>
      <w:bookmarkEnd w:id="77"/>
    </w:p>
    <w:p>
      <w:pPr>
        <w:pStyle w:val="5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（1）反应方程式</w:t>
      </w:r>
    </w:p>
    <w:p>
      <w:pPr>
        <w:pStyle w:val="5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①合成</w:t>
      </w:r>
    </w:p>
    <w:p>
      <w:pPr>
        <w:pStyle w:val="54"/>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object>
          <v:shape id="_x0000_i1027" o:spt="75" type="#_x0000_t75" style="height:260.8pt;width:330.25pt;" o:ole="t" filled="f" o:preferrelative="t" stroked="f" coordsize="21600,21600">
            <v:path/>
            <v:fill on="f" focussize="0,0"/>
            <v:stroke on="f"/>
            <v:imagedata r:id="rId15" o:title=""/>
            <o:lock v:ext="edit" aspectratio="t"/>
            <w10:wrap type="none"/>
            <w10:anchorlock/>
          </v:shape>
          <o:OLEObject Type="Embed" ProgID="Unknown" ShapeID="_x0000_i1027" DrawAspect="Content" ObjectID="_1468075727" r:id="rId14">
            <o:LockedField>false</o:LockedField>
          </o:OLEObject>
        </w:object>
      </w:r>
    </w:p>
    <w:p>
      <w:pPr>
        <w:pStyle w:val="5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bCs/>
          <w:snapToGrid w:val="0"/>
          <w:sz w:val="24"/>
          <w:szCs w:val="24"/>
          <w:lang w:eastAsia="zh-CN"/>
        </w:rPr>
        <w:t>②双氧水分解</w:t>
      </w:r>
    </w:p>
    <w:p>
      <w:pPr>
        <w:pStyle w:val="5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H</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O</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→H</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O+O</w:t>
      </w:r>
      <w:r>
        <w:rPr>
          <w:rFonts w:hint="default" w:ascii="Times New Roman" w:hAnsi="Times New Roman" w:eastAsia="宋体" w:cs="Times New Roman"/>
          <w:sz w:val="24"/>
          <w:szCs w:val="24"/>
          <w:vertAlign w:val="subscript"/>
          <w:lang w:eastAsia="zh-CN"/>
        </w:rPr>
        <w:t>2</w:t>
      </w:r>
      <w:r>
        <w:rPr>
          <w:rFonts w:hint="default" w:ascii="Times New Roman" w:hAnsi="Times New Roman" w:eastAsia="宋体" w:cs="Times New Roman"/>
          <w:sz w:val="24"/>
          <w:szCs w:val="24"/>
          <w:lang w:eastAsia="zh-CN"/>
        </w:rPr>
        <w:t>↑</w:t>
      </w:r>
    </w:p>
    <w:p>
      <w:pPr>
        <w:pStyle w:val="5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（2）生产工艺流程及产污环节</w:t>
      </w:r>
    </w:p>
    <w:p>
      <w:pPr>
        <w:pStyle w:val="5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将异丙醇（作溶剂）、乙酰基烯封端烯丙基聚醚、低含氢硅油、二丁基乙醇胺（作酸碱缓冲剂）通过泵依次</w:t>
      </w:r>
      <w:r>
        <w:rPr>
          <w:rFonts w:hint="default" w:ascii="Times New Roman" w:hAnsi="Times New Roman" w:eastAsia="宋体" w:cs="Times New Roman"/>
          <w:sz w:val="24"/>
          <w:szCs w:val="24"/>
          <w:lang w:eastAsia="zh-CN"/>
        </w:rPr>
        <w:t>密闭输送</w:t>
      </w:r>
      <w:r>
        <w:rPr>
          <w:rFonts w:hint="default" w:ascii="Times New Roman" w:hAnsi="Times New Roman" w:eastAsia="宋体" w:cs="Times New Roman"/>
          <w:sz w:val="24"/>
          <w:szCs w:val="24"/>
        </w:rPr>
        <w:t>到烯丙基乙酰基封端聚醚反应釜中（硅油反应釜），形成混合体系，然后再向该混合体系中加入10%的卡斯泰德催化剂乙醇溶液，通过换热器加热至60~100℃（具体反应温度根据具体产品系列确定），发生加成反应，检测反应体系中硅氢的含量，当反应至硅氢未检出时，加入10%浓度的双氧水失活催化剂，淬灭反应，减压蒸馏（1kPa）去除异丙醇溶剂及少量乙醇，蒸馏完毕后过滤去除卡斯泰德催化剂粉体，过滤过程中有滤渣（S3-1）产生，作固废焚烧。过滤后放料至调节罐。</w:t>
      </w:r>
    </w:p>
    <w:p>
      <w:pPr>
        <w:pStyle w:val="5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减压蒸馏气体用冷却水（30℃）+冷冻水（-20℃）二级冷凝，不凝尾气（G3-1）通过排气筒排放。冷凝液去精馏塔进行溶剂回收。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p>
    <w:p>
      <w:pPr>
        <w:pStyle w:val="5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object>
          <v:shape id="_x0000_i1028" o:spt="75" type="#_x0000_t75" style="height:299pt;width:354.25pt;" o:ole="t" filled="f" o:preferrelative="t" stroked="f" coordsize="21600,21600">
            <v:path/>
            <v:fill on="f" alignshape="1" focussize="0,0"/>
            <v:stroke on="f"/>
            <v:imagedata r:id="rId17" o:title=""/>
            <o:lock v:ext="edit" aspectratio="t"/>
            <w10:wrap type="none"/>
            <w10:anchorlock/>
          </v:shape>
          <o:OLEObject Type="Embed" ProgID="SmartDraw.2" ShapeID="_x0000_i1028" DrawAspect="Content" ObjectID="_1468075728" r:id="rId16">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图</w:t>
      </w:r>
      <w:r>
        <w:rPr>
          <w:rFonts w:hint="eastAsia" w:ascii="Times New Roman" w:hAnsi="Times New Roman" w:cs="Times New Roman"/>
          <w:b/>
          <w:bCs/>
          <w:sz w:val="24"/>
          <w:szCs w:val="24"/>
          <w:lang w:val="en-US" w:eastAsia="zh-CN"/>
        </w:rPr>
        <w:t>4</w:t>
      </w:r>
      <w:r>
        <w:rPr>
          <w:rFonts w:hint="default" w:ascii="Times New Roman" w:hAnsi="Times New Roman" w:eastAsia="宋体" w:cs="Times New Roman"/>
          <w:b/>
          <w:bCs/>
          <w:sz w:val="24"/>
          <w:szCs w:val="24"/>
          <w:lang w:val="en-US" w:eastAsia="zh-CN"/>
        </w:rPr>
        <w:t>.3</w:t>
      </w:r>
      <w:r>
        <w:rPr>
          <w:rFonts w:hint="eastAsia" w:ascii="Times New Roman" w:hAnsi="Times New Roman" w:cs="Times New Roman"/>
          <w:b/>
          <w:bCs/>
          <w:sz w:val="24"/>
          <w:szCs w:val="24"/>
          <w:lang w:val="en-US" w:eastAsia="zh-CN"/>
        </w:rPr>
        <w:t>-2</w:t>
      </w:r>
      <w:r>
        <w:rPr>
          <w:rFonts w:hint="default" w:ascii="Times New Roman" w:hAnsi="Times New Roman" w:eastAsia="宋体" w:cs="Times New Roman"/>
          <w:b/>
          <w:bCs/>
          <w:sz w:val="24"/>
          <w:szCs w:val="24"/>
        </w:rPr>
        <w:t xml:space="preserve">  聚氨酯用特种硅油合成工艺流程及产污环节示意图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此外，</w:t>
      </w:r>
      <w:r>
        <w:rPr>
          <w:rFonts w:hint="default" w:ascii="Times New Roman" w:hAnsi="Times New Roman" w:eastAsia="宋体" w:cs="Times New Roman"/>
          <w:sz w:val="24"/>
          <w:szCs w:val="24"/>
        </w:rPr>
        <w:t>聚氨酯用特种硅油合成工序中需要对硅油反应釜用异丙醇进行清洗，该过程中将产生清洗残液。合成过程中均将产生含异丙醇的冷凝液。项目设一台2000L/hr常压精馏塔，对含异丙醇清洗残液、冷凝液进行异丙醇溶剂回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该过程中不凝废气用冷却水（30℃）+冷冻水（-20℃）二级冷凝，不凝尾气（G7-1）通过排气筒排放。回收异丙醇回收套用，蒸馏釜残作固废（S7-1）。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object>
          <v:shape id="_x0000_i1029" o:spt="75" type="#_x0000_t75" style="height:94.45pt;width:343.85pt;" o:ole="t" filled="f" o:preferrelative="t" stroked="f" coordsize="21600,21600">
            <v:path/>
            <v:fill on="f" alignshape="1" focussize="0,0"/>
            <v:stroke on="f"/>
            <v:imagedata r:id="rId19" o:title=""/>
            <o:lock v:ext="edit" aspectratio="t"/>
            <w10:wrap type="none"/>
            <w10:anchorlock/>
          </v:shape>
          <o:OLEObject Type="Embed" ProgID="SmartDraw.2" ShapeID="_x0000_i1029" DrawAspect="Content" ObjectID="_1468075729" r:id="rId18">
            <o:LockedField>false</o:LockedField>
          </o:OLEObject>
        </w:object>
      </w:r>
    </w:p>
    <w:p>
      <w:pPr>
        <w:widowControl/>
        <w:spacing w:line="500" w:lineRule="exact"/>
        <w:ind w:firstLine="420"/>
        <w:jc w:val="center"/>
        <w:rPr>
          <w:rFonts w:ascii="Times New Roman" w:hAnsi="Times New Roman"/>
          <w:kern w:val="0"/>
          <w:sz w:val="24"/>
          <w:szCs w:val="24"/>
        </w:rPr>
      </w:pPr>
      <w:r>
        <w:rPr>
          <w:rFonts w:hint="default" w:ascii="Times New Roman" w:hAnsi="Times New Roman" w:cs="Times New Roman"/>
          <w:b/>
          <w:bCs/>
          <w:sz w:val="24"/>
          <w:szCs w:val="24"/>
        </w:rPr>
        <w:t>图</w:t>
      </w:r>
      <w:r>
        <w:rPr>
          <w:rFonts w:hint="eastAsia" w:ascii="Times New Roman" w:hAnsi="Times New Roman" w:cs="Times New Roman"/>
          <w:b/>
          <w:bCs/>
          <w:sz w:val="24"/>
          <w:szCs w:val="24"/>
          <w:lang w:val="en-US" w:eastAsia="zh-CN"/>
        </w:rPr>
        <w:t>4</w:t>
      </w:r>
      <w:r>
        <w:rPr>
          <w:rFonts w:hint="default" w:ascii="Times New Roman" w:hAnsi="Times New Roman" w:cs="Times New Roman"/>
          <w:b/>
          <w:bCs/>
          <w:sz w:val="24"/>
          <w:szCs w:val="24"/>
          <w:lang w:val="en-US" w:eastAsia="zh-CN"/>
        </w:rPr>
        <w:t>.</w:t>
      </w:r>
      <w:r>
        <w:rPr>
          <w:rFonts w:hint="eastAsia" w:ascii="Times New Roman" w:hAnsi="Times New Roman" w:cs="Times New Roman"/>
          <w:b/>
          <w:bCs/>
          <w:sz w:val="24"/>
          <w:szCs w:val="24"/>
          <w:lang w:val="en-US" w:eastAsia="zh-CN"/>
        </w:rPr>
        <w:t>3-3</w:t>
      </w:r>
      <w:r>
        <w:rPr>
          <w:rFonts w:hint="default" w:ascii="Times New Roman" w:hAnsi="Times New Roman" w:cs="Times New Roman"/>
          <w:b/>
          <w:bCs/>
          <w:sz w:val="24"/>
          <w:szCs w:val="24"/>
        </w:rPr>
        <w:t xml:space="preserve">  溶剂回收工艺流程示意图</w:t>
      </w:r>
    </w:p>
    <w:p>
      <w:pPr>
        <w:widowControl/>
        <w:jc w:val="center"/>
        <w:rPr>
          <w:rFonts w:ascii="Times New Roman" w:hAnsi="Times New Roman"/>
          <w:kern w:val="0"/>
          <w:sz w:val="24"/>
          <w:szCs w:val="24"/>
        </w:rPr>
      </w:pPr>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78" w:name="_Toc531519925"/>
      <w:bookmarkStart w:id="79" w:name="_Toc13847377"/>
      <w:bookmarkStart w:id="80" w:name="_Toc534203178"/>
      <w:bookmarkStart w:id="81" w:name="_Toc31123"/>
      <w:r>
        <w:rPr>
          <w:rFonts w:hint="eastAsia" w:ascii="Times New Roman" w:hAnsi="Times New Roman"/>
          <w:b/>
          <w:bCs/>
          <w:sz w:val="28"/>
          <w:szCs w:val="32"/>
        </w:rPr>
        <w:t>4</w:t>
      </w:r>
      <w:r>
        <w:rPr>
          <w:rFonts w:ascii="Times New Roman" w:hAnsi="Times New Roman"/>
          <w:b/>
          <w:bCs/>
          <w:sz w:val="28"/>
          <w:szCs w:val="32"/>
        </w:rPr>
        <w:t>.</w:t>
      </w:r>
      <w:r>
        <w:rPr>
          <w:rFonts w:hint="eastAsia" w:ascii="Times New Roman" w:hAnsi="Times New Roman"/>
          <w:b/>
          <w:bCs/>
          <w:sz w:val="28"/>
          <w:szCs w:val="32"/>
        </w:rPr>
        <w:t>4隐患排查结论</w:t>
      </w:r>
      <w:bookmarkEnd w:id="78"/>
      <w:bookmarkEnd w:id="79"/>
      <w:bookmarkEnd w:id="80"/>
      <w:bookmarkEnd w:id="8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对企业可能造成土壤污染的污染物、设施设备和生产活动进行识别，并对其设计及运行管理进行审查和分析，结合现场目测排查情况，认为需要重点关注的区域为甲类生产车间、丙类仓库、地面冲洗废水收集池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甲类生产车间为厂区的重点生产区域，涉及到有机物、石油烃类，地面存在大量油渍、车间泵体密封性较差，存在泄漏，同时地面出现破损，因此需要做好设备的检修，避免物料的泄漏，破损地面应及时修补工作，散落地面的油渍应及时清理，防止有毒有害物质渗透进入土壤或地下水造成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丙类仓库为厂区的重点关注区域，涉及到有机物、石油烃类，仓库内地面多地方出现物料滴漏，造成地面大量油渍，仓库内存在杂乱的空溶剂桶，因此需要做好物料的管理，避免泄漏，散落地面的油渍应及时清理，仓库内空溶剂桶应及时转移至危废仓库，并做好空桶的摆放，避免因桶内残留的液体流出，防止有毒有害物质渗透进入土壤或地下水造成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kern w:val="0"/>
          <w:sz w:val="24"/>
          <w:szCs w:val="24"/>
        </w:rPr>
      </w:pPr>
      <w:r>
        <w:rPr>
          <w:rFonts w:hint="eastAsia" w:ascii="宋体" w:hAnsi="宋体" w:eastAsia="宋体" w:cs="宋体"/>
          <w:sz w:val="24"/>
          <w:szCs w:val="24"/>
          <w:lang w:val="en-US" w:eastAsia="zh-CN"/>
        </w:rPr>
        <w:t>厂区内生产车间、仓库、罐区等地面废水收集池排放系统中传输泵四周未设置围堰及关键部位为做防泄漏装置。由于泵区四周为绿化地，如发生跑冒滴漏，则会第一时间废液进入土壤中，且废液中含有有机物、石油烃等有毒有害物质，故需防止有毒有害物质渗透进入土壤或地下水造成污染。</w:t>
      </w:r>
    </w:p>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sectPr>
          <w:pgSz w:w="11906" w:h="16838"/>
          <w:pgMar w:top="1440" w:right="1800" w:bottom="1440" w:left="1800" w:header="851" w:footer="992" w:gutter="0"/>
          <w:cols w:space="425" w:num="1"/>
          <w:docGrid w:type="lines" w:linePitch="312" w:charSpace="0"/>
        </w:sectPr>
      </w:pPr>
    </w:p>
    <w:p>
      <w:pPr>
        <w:keepNext/>
        <w:keepLines/>
        <w:spacing w:line="500" w:lineRule="exact"/>
        <w:outlineLvl w:val="0"/>
        <w:rPr>
          <w:rFonts w:ascii="Times New Roman" w:hAnsi="Times New Roman"/>
          <w:b/>
          <w:bCs/>
          <w:kern w:val="44"/>
          <w:sz w:val="36"/>
          <w:szCs w:val="44"/>
        </w:rPr>
      </w:pPr>
      <w:bookmarkStart w:id="82" w:name="_Toc531519926"/>
      <w:bookmarkStart w:id="83" w:name="_Toc13847378"/>
      <w:bookmarkStart w:id="84" w:name="_Toc534203179"/>
      <w:bookmarkStart w:id="85" w:name="_Toc5510"/>
      <w:r>
        <w:rPr>
          <w:rFonts w:hint="eastAsia" w:ascii="Times New Roman" w:hAnsi="Times New Roman"/>
          <w:b/>
          <w:bCs/>
          <w:kern w:val="44"/>
          <w:sz w:val="36"/>
          <w:szCs w:val="44"/>
        </w:rPr>
        <w:t>5</w:t>
      </w:r>
      <w:r>
        <w:rPr>
          <w:rFonts w:ascii="Times New Roman" w:hAnsi="Times New Roman"/>
          <w:b/>
          <w:bCs/>
          <w:kern w:val="44"/>
          <w:sz w:val="36"/>
          <w:szCs w:val="44"/>
        </w:rPr>
        <w:t xml:space="preserve"> </w:t>
      </w:r>
      <w:r>
        <w:rPr>
          <w:rFonts w:hint="eastAsia" w:ascii="Times New Roman" w:hAnsi="Times New Roman"/>
          <w:b/>
          <w:bCs/>
          <w:kern w:val="44"/>
          <w:sz w:val="36"/>
          <w:szCs w:val="44"/>
        </w:rPr>
        <w:t>重点区域</w:t>
      </w:r>
      <w:bookmarkEnd w:id="82"/>
      <w:bookmarkEnd w:id="83"/>
      <w:bookmarkEnd w:id="84"/>
      <w:bookmarkEnd w:id="85"/>
    </w:p>
    <w:p>
      <w:pPr>
        <w:keepNext/>
        <w:keepLines/>
        <w:widowControl/>
        <w:spacing w:before="156" w:beforeLines="50" w:after="156" w:afterLines="50" w:line="500" w:lineRule="exact"/>
        <w:contextualSpacing/>
        <w:outlineLvl w:val="1"/>
        <w:rPr>
          <w:rFonts w:ascii="Times New Roman" w:hAnsi="Times New Roman"/>
          <w:snapToGrid w:val="0"/>
          <w:kern w:val="0"/>
          <w:sz w:val="24"/>
          <w:szCs w:val="24"/>
        </w:rPr>
      </w:pPr>
      <w:bookmarkStart w:id="86" w:name="_Toc531519927"/>
      <w:bookmarkStart w:id="87" w:name="_Toc534203180"/>
      <w:bookmarkStart w:id="88" w:name="_Toc13847379"/>
      <w:bookmarkStart w:id="89" w:name="_Toc32348"/>
      <w:r>
        <w:rPr>
          <w:rFonts w:hint="eastAsia" w:ascii="Times New Roman" w:hAnsi="Times New Roman"/>
          <w:b/>
          <w:bCs/>
          <w:sz w:val="28"/>
          <w:szCs w:val="32"/>
        </w:rPr>
        <w:t>5.1识别原则</w:t>
      </w:r>
      <w:bookmarkEnd w:id="86"/>
      <w:bookmarkEnd w:id="87"/>
      <w:bookmarkEnd w:id="88"/>
      <w:bookmarkEnd w:id="89"/>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根据各设施信息、污染物迁移途径等，识别企业内部存在土壤或地下水污染隐患的重点设施。</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存在土壤或地下水污染隐患的重点设施一般包括但不仅限于：</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a）涉及有毒有害物质的生产区或生产设施；</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b）涉及有毒有害物质的原辅材料、产品、固体废物等的贮存或堆放区；</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c）涉及有毒有害物质的原辅材料、产品、固体废物等的转运、传送或装卸区；</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d）贮存或运输有毒有害物质的各类罐槽或管线；</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e）三废（废气、废水、固体废物）处理处置或排放区。</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重点设施数量较多的自行监测企业可根据重点设施在企业内分布情况，将重点设施分布较为密集的区域识别为重点区域，在企业平面布置图中标记。</w:t>
      </w:r>
    </w:p>
    <w:p>
      <w:pPr>
        <w:keepNext/>
        <w:keepLines/>
        <w:widowControl/>
        <w:spacing w:before="156" w:beforeLines="50" w:after="156" w:afterLines="50" w:line="500" w:lineRule="exact"/>
        <w:contextualSpacing/>
        <w:outlineLvl w:val="1"/>
        <w:rPr>
          <w:rFonts w:ascii="Times New Roman" w:hAnsi="Times New Roman"/>
          <w:snapToGrid w:val="0"/>
          <w:kern w:val="0"/>
          <w:sz w:val="24"/>
          <w:szCs w:val="24"/>
        </w:rPr>
      </w:pPr>
      <w:bookmarkStart w:id="90" w:name="_Toc534203182"/>
      <w:bookmarkStart w:id="91" w:name="_Toc531519929"/>
      <w:bookmarkStart w:id="92" w:name="_Toc13847381"/>
      <w:bookmarkStart w:id="93" w:name="_Toc23928"/>
      <w:r>
        <w:rPr>
          <w:rFonts w:hint="eastAsia" w:ascii="Times New Roman" w:hAnsi="Times New Roman"/>
          <w:b/>
          <w:bCs/>
          <w:sz w:val="28"/>
          <w:szCs w:val="32"/>
        </w:rPr>
        <w:t>5.</w:t>
      </w:r>
      <w:r>
        <w:rPr>
          <w:rFonts w:hint="eastAsia" w:ascii="Times New Roman" w:hAnsi="Times New Roman"/>
          <w:b/>
          <w:bCs/>
          <w:sz w:val="28"/>
          <w:szCs w:val="32"/>
          <w:lang w:val="en-US" w:eastAsia="zh-CN"/>
        </w:rPr>
        <w:t>2</w:t>
      </w:r>
      <w:r>
        <w:rPr>
          <w:rFonts w:hint="eastAsia" w:ascii="Times New Roman" w:hAnsi="Times New Roman"/>
          <w:b/>
          <w:bCs/>
          <w:sz w:val="28"/>
          <w:szCs w:val="32"/>
        </w:rPr>
        <w:t>重点设施的识别</w:t>
      </w:r>
      <w:bookmarkEnd w:id="90"/>
      <w:bookmarkEnd w:id="91"/>
      <w:bookmarkEnd w:id="92"/>
      <w:bookmarkEnd w:id="93"/>
    </w:p>
    <w:p>
      <w:pPr>
        <w:widowControl/>
        <w:spacing w:line="500" w:lineRule="exact"/>
        <w:ind w:firstLine="420"/>
        <w:rPr>
          <w:rFonts w:hint="eastAsia" w:ascii="Times New Roman" w:hAnsi="Times New Roman" w:eastAsia="宋体"/>
          <w:snapToGrid w:val="0"/>
          <w:kern w:val="0"/>
          <w:sz w:val="24"/>
          <w:szCs w:val="24"/>
          <w:lang w:eastAsia="zh-CN"/>
        </w:rPr>
      </w:pPr>
      <w:r>
        <w:rPr>
          <w:rFonts w:hint="eastAsia" w:ascii="Times New Roman" w:hAnsi="Times New Roman"/>
          <w:snapToGrid w:val="0"/>
          <w:kern w:val="0"/>
          <w:sz w:val="24"/>
          <w:szCs w:val="24"/>
        </w:rPr>
        <w:t>依据重点设施及区域的识别原则，以及厂区内的分布情况，排查识别各</w:t>
      </w:r>
      <w:r>
        <w:rPr>
          <w:rFonts w:hint="eastAsia" w:ascii="Times New Roman" w:hAnsi="Times New Roman"/>
          <w:snapToGrid w:val="0"/>
          <w:kern w:val="0"/>
          <w:sz w:val="24"/>
          <w:szCs w:val="24"/>
          <w:lang w:val="en-US" w:eastAsia="zh-CN"/>
        </w:rPr>
        <w:t>区</w:t>
      </w:r>
      <w:r>
        <w:rPr>
          <w:rFonts w:hint="eastAsia" w:ascii="Times New Roman" w:hAnsi="Times New Roman"/>
          <w:snapToGrid w:val="0"/>
          <w:kern w:val="0"/>
          <w:sz w:val="24"/>
          <w:szCs w:val="24"/>
        </w:rPr>
        <w:t>的重点设施及区域如下</w:t>
      </w:r>
      <w:r>
        <w:rPr>
          <w:rFonts w:hint="eastAsia" w:ascii="Times New Roman" w:hAnsi="Times New Roman"/>
          <w:snapToGrid w:val="0"/>
          <w:kern w:val="0"/>
          <w:sz w:val="24"/>
          <w:szCs w:val="24"/>
          <w:lang w:eastAsia="zh-CN"/>
        </w:rPr>
        <w:t>：</w:t>
      </w:r>
    </w:p>
    <w:p>
      <w:pPr>
        <w:widowControl/>
        <w:spacing w:line="500" w:lineRule="exact"/>
        <w:jc w:val="center"/>
        <w:rPr>
          <w:rFonts w:ascii="Times New Roman" w:hAnsi="Times New Roman"/>
          <w:b/>
          <w:snapToGrid w:val="0"/>
          <w:kern w:val="0"/>
          <w:sz w:val="24"/>
          <w:szCs w:val="24"/>
        </w:rPr>
      </w:pPr>
      <w:r>
        <w:rPr>
          <w:rFonts w:hint="eastAsia" w:ascii="Times New Roman" w:hAnsi="Times New Roman"/>
          <w:b/>
          <w:snapToGrid w:val="0"/>
          <w:kern w:val="0"/>
          <w:sz w:val="24"/>
          <w:szCs w:val="24"/>
        </w:rPr>
        <w:t>表5.</w:t>
      </w:r>
      <w:r>
        <w:rPr>
          <w:rFonts w:hint="eastAsia" w:ascii="Times New Roman" w:hAnsi="Times New Roman"/>
          <w:b/>
          <w:snapToGrid w:val="0"/>
          <w:kern w:val="0"/>
          <w:sz w:val="24"/>
          <w:szCs w:val="24"/>
          <w:lang w:val="en-US" w:eastAsia="zh-CN"/>
        </w:rPr>
        <w:t>2</w:t>
      </w:r>
      <w:r>
        <w:rPr>
          <w:rFonts w:hint="eastAsia" w:ascii="Times New Roman" w:hAnsi="Times New Roman"/>
          <w:b/>
          <w:snapToGrid w:val="0"/>
          <w:kern w:val="0"/>
          <w:sz w:val="24"/>
          <w:szCs w:val="24"/>
        </w:rPr>
        <w:t>-1</w:t>
      </w:r>
      <w:r>
        <w:rPr>
          <w:rFonts w:ascii="Times New Roman" w:hAnsi="Times New Roman"/>
          <w:b/>
          <w:snapToGrid w:val="0"/>
          <w:kern w:val="0"/>
          <w:sz w:val="24"/>
          <w:szCs w:val="24"/>
        </w:rPr>
        <w:t xml:space="preserve"> </w:t>
      </w:r>
      <w:r>
        <w:rPr>
          <w:rFonts w:hint="eastAsia" w:ascii="Times New Roman" w:hAnsi="Times New Roman"/>
          <w:b/>
          <w:snapToGrid w:val="0"/>
          <w:kern w:val="0"/>
          <w:sz w:val="24"/>
          <w:szCs w:val="24"/>
          <w:lang w:val="en-US" w:eastAsia="zh-CN"/>
        </w:rPr>
        <w:t>厂区内</w:t>
      </w:r>
      <w:r>
        <w:rPr>
          <w:rFonts w:hint="eastAsia" w:ascii="Times New Roman" w:hAnsi="Times New Roman"/>
          <w:b/>
          <w:snapToGrid w:val="0"/>
          <w:kern w:val="0"/>
          <w:sz w:val="24"/>
          <w:szCs w:val="24"/>
        </w:rPr>
        <w:t>重点设施表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37"/>
        <w:gridCol w:w="1745"/>
        <w:gridCol w:w="2035"/>
        <w:gridCol w:w="1426"/>
        <w:gridCol w:w="12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5" w:type="pct"/>
            <w:vAlign w:val="center"/>
          </w:tcPr>
          <w:p>
            <w:pPr>
              <w:jc w:val="center"/>
              <w:rPr>
                <w:rFonts w:ascii="Times New Roman" w:hAnsi="Times New Roman"/>
                <w:b/>
                <w:szCs w:val="21"/>
              </w:rPr>
            </w:pPr>
            <w:r>
              <w:rPr>
                <w:rFonts w:ascii="Times New Roman" w:hAnsi="Times New Roman"/>
                <w:b/>
                <w:szCs w:val="21"/>
              </w:rPr>
              <w:t>重点设施名称</w:t>
            </w:r>
          </w:p>
        </w:tc>
        <w:tc>
          <w:tcPr>
            <w:tcW w:w="1023" w:type="pct"/>
            <w:vAlign w:val="center"/>
          </w:tcPr>
          <w:p>
            <w:pPr>
              <w:jc w:val="center"/>
              <w:rPr>
                <w:rFonts w:ascii="Times New Roman" w:hAnsi="Times New Roman"/>
                <w:b/>
                <w:szCs w:val="21"/>
              </w:rPr>
            </w:pPr>
            <w:r>
              <w:rPr>
                <w:rFonts w:ascii="Times New Roman" w:hAnsi="Times New Roman"/>
                <w:b/>
                <w:szCs w:val="21"/>
              </w:rPr>
              <w:t>设施功能</w:t>
            </w:r>
          </w:p>
        </w:tc>
        <w:tc>
          <w:tcPr>
            <w:tcW w:w="1193" w:type="pct"/>
            <w:vAlign w:val="center"/>
          </w:tcPr>
          <w:p>
            <w:pPr>
              <w:jc w:val="center"/>
              <w:rPr>
                <w:rFonts w:ascii="Times New Roman" w:hAnsi="Times New Roman"/>
                <w:b/>
                <w:szCs w:val="21"/>
              </w:rPr>
            </w:pPr>
            <w:r>
              <w:rPr>
                <w:rFonts w:ascii="Times New Roman" w:hAnsi="Times New Roman"/>
                <w:b/>
                <w:szCs w:val="21"/>
              </w:rPr>
              <w:t>涉及有毒有害物质清单</w:t>
            </w:r>
          </w:p>
        </w:tc>
        <w:tc>
          <w:tcPr>
            <w:tcW w:w="836" w:type="pct"/>
            <w:vAlign w:val="center"/>
          </w:tcPr>
          <w:p>
            <w:pPr>
              <w:jc w:val="center"/>
              <w:rPr>
                <w:rFonts w:ascii="Times New Roman" w:hAnsi="Times New Roman"/>
                <w:b/>
                <w:szCs w:val="21"/>
              </w:rPr>
            </w:pPr>
            <w:r>
              <w:rPr>
                <w:rFonts w:ascii="Times New Roman" w:hAnsi="Times New Roman"/>
                <w:b/>
                <w:szCs w:val="21"/>
              </w:rPr>
              <w:t>关注污染物</w:t>
            </w:r>
          </w:p>
        </w:tc>
        <w:tc>
          <w:tcPr>
            <w:tcW w:w="750" w:type="pct"/>
            <w:vAlign w:val="center"/>
          </w:tcPr>
          <w:p>
            <w:pPr>
              <w:jc w:val="center"/>
              <w:rPr>
                <w:rFonts w:ascii="Times New Roman" w:hAnsi="Times New Roman"/>
                <w:b/>
                <w:szCs w:val="21"/>
              </w:rPr>
            </w:pPr>
            <w:r>
              <w:rPr>
                <w:rFonts w:ascii="Times New Roman" w:hAnsi="Times New Roman"/>
                <w:b/>
                <w:szCs w:val="21"/>
              </w:rPr>
              <w:t>可能的迁移途径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vAlign w:val="center"/>
          </w:tcPr>
          <w:p>
            <w:pPr>
              <w:jc w:val="center"/>
              <w:rPr>
                <w:rFonts w:ascii="Times New Roman" w:hAnsi="Times New Roman"/>
                <w:szCs w:val="21"/>
              </w:rPr>
            </w:pPr>
            <w:r>
              <w:rPr>
                <w:rFonts w:hint="default" w:ascii="Times New Roman" w:hAnsi="Times New Roman" w:eastAsia="宋体" w:cs="Times New Roman"/>
                <w:b w:val="0"/>
                <w:bCs w:val="0"/>
                <w:color w:val="auto"/>
                <w:lang w:val="en-US" w:eastAsia="zh-CN"/>
              </w:rPr>
              <w:t>实验</w:t>
            </w:r>
            <w:r>
              <w:rPr>
                <w:rFonts w:hint="eastAsia" w:ascii="Times New Roman" w:hAnsi="Times New Roman" w:eastAsia="宋体" w:cs="Times New Roman"/>
                <w:b w:val="0"/>
                <w:bCs w:val="0"/>
                <w:color w:val="auto"/>
                <w:lang w:val="en-US" w:eastAsia="zh-CN"/>
              </w:rPr>
              <w:t>室</w:t>
            </w:r>
          </w:p>
        </w:tc>
        <w:tc>
          <w:tcPr>
            <w:tcW w:w="1023" w:type="pc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分析日常油品</w:t>
            </w:r>
          </w:p>
        </w:tc>
        <w:tc>
          <w:tcPr>
            <w:tcW w:w="1193" w:type="pct"/>
            <w:vAlign w:val="center"/>
          </w:tcPr>
          <w:p>
            <w:pPr>
              <w:jc w:val="center"/>
              <w:rPr>
                <w:rFonts w:ascii="Times New Roman" w:hAnsi="Times New Roman"/>
                <w:szCs w:val="21"/>
              </w:rPr>
            </w:pPr>
            <w:r>
              <w:rPr>
                <w:rFonts w:hint="default" w:ascii="Times New Roman" w:hAnsi="Times New Roman" w:cs="Times New Roman"/>
                <w:color w:val="auto"/>
              </w:rPr>
              <w:t>异丙醇</w:t>
            </w:r>
            <w:r>
              <w:rPr>
                <w:rFonts w:hint="default" w:ascii="Times New Roman" w:hAnsi="Times New Roman" w:cs="Times New Roman"/>
                <w:color w:val="auto"/>
                <w:lang w:eastAsia="zh-CN"/>
              </w:rPr>
              <w:t>、</w:t>
            </w:r>
            <w:r>
              <w:rPr>
                <w:rFonts w:hint="default" w:ascii="Times New Roman" w:hAnsi="Times New Roman" w:cs="Times New Roman"/>
                <w:color w:val="auto"/>
                <w:sz w:val="21"/>
                <w:szCs w:val="21"/>
                <w:lang w:val="en-US" w:eastAsia="zh-CN"/>
              </w:rPr>
              <w:t>1,3-二乙烯基-1,1,3,3-四甲基二硅氧烷、八甲基环四硅氧烷、六甲基二硅氧烷、二丁基乙醇胺、乙醇、</w:t>
            </w:r>
            <w:r>
              <w:rPr>
                <w:rFonts w:hint="default" w:ascii="Times New Roman" w:hAnsi="Times New Roman" w:cs="Times New Roman"/>
                <w:color w:val="auto"/>
                <w:szCs w:val="21"/>
                <w:lang w:val="en-US" w:eastAsia="zh-CN"/>
              </w:rPr>
              <w:t>石油烃</w:t>
            </w:r>
          </w:p>
        </w:tc>
        <w:tc>
          <w:tcPr>
            <w:tcW w:w="836" w:type="pct"/>
            <w:vAlign w:val="center"/>
          </w:tcPr>
          <w:p>
            <w:pPr>
              <w:jc w:val="center"/>
              <w:rPr>
                <w:rFonts w:ascii="Times New Roman" w:hAnsi="Times New Roman"/>
                <w:szCs w:val="21"/>
              </w:rPr>
            </w:pPr>
            <w:r>
              <w:rPr>
                <w:rFonts w:hint="eastAsia" w:ascii="Times New Roman" w:hAnsi="Times New Roman" w:eastAsia="宋体" w:cs="Times New Roman"/>
                <w:b w:val="0"/>
                <w:bCs w:val="0"/>
                <w:color w:val="auto"/>
                <w:lang w:val="en-US" w:eastAsia="zh-CN"/>
              </w:rPr>
              <w:t>pH、</w:t>
            </w:r>
            <w:r>
              <w:rPr>
                <w:rFonts w:hint="eastAsia" w:ascii="Times New Roman" w:hAnsi="Times New Roman" w:cs="Times New Roman"/>
                <w:b w:val="0"/>
                <w:bCs w:val="0"/>
                <w:color w:val="auto"/>
                <w:lang w:val="en-US" w:eastAsia="zh-CN"/>
              </w:rPr>
              <w:t>VOCs</w:t>
            </w:r>
            <w:r>
              <w:rPr>
                <w:rFonts w:hint="eastAsia" w:ascii="Times New Roman" w:hAnsi="Times New Roman" w:eastAsia="宋体" w:cs="Times New Roman"/>
                <w:b w:val="0"/>
                <w:bCs w:val="0"/>
                <w:color w:val="auto"/>
                <w:lang w:val="en-US" w:eastAsia="zh-CN"/>
              </w:rPr>
              <w:t>、</w:t>
            </w:r>
            <w:r>
              <w:rPr>
                <w:rFonts w:hint="eastAsia" w:ascii="Times New Roman" w:hAnsi="Times New Roman" w:cs="Times New Roman"/>
                <w:b w:val="0"/>
                <w:bCs w:val="0"/>
                <w:color w:val="auto"/>
                <w:lang w:val="en-US" w:eastAsia="zh-CN"/>
              </w:rPr>
              <w:t>SVOCs、</w:t>
            </w:r>
            <w:r>
              <w:rPr>
                <w:rFonts w:hint="default" w:ascii="Times New Roman" w:hAnsi="Times New Roman" w:eastAsia="宋体" w:cs="Times New Roman"/>
                <w:b w:val="0"/>
                <w:bCs w:val="0"/>
                <w:color w:val="auto"/>
                <w:lang w:val="en-US" w:eastAsia="zh-CN"/>
              </w:rPr>
              <w:t>石油烃C</w:t>
            </w:r>
            <w:r>
              <w:rPr>
                <w:rFonts w:hint="default" w:ascii="Times New Roman" w:hAnsi="Times New Roman" w:eastAsia="宋体" w:cs="Times New Roman"/>
                <w:b w:val="0"/>
                <w:bCs w:val="0"/>
                <w:color w:val="auto"/>
                <w:vertAlign w:val="subscript"/>
                <w:lang w:val="en-US" w:eastAsia="zh-CN"/>
              </w:rPr>
              <w:t>10</w:t>
            </w:r>
            <w:r>
              <w:rPr>
                <w:rFonts w:hint="default" w:ascii="Times New Roman" w:hAnsi="Times New Roman" w:eastAsia="宋体" w:cs="Times New Roman"/>
                <w:b w:val="0"/>
                <w:bCs w:val="0"/>
                <w:color w:val="auto"/>
                <w:lang w:val="en-US" w:eastAsia="zh-CN"/>
              </w:rPr>
              <w:t>～C</w:t>
            </w:r>
            <w:r>
              <w:rPr>
                <w:rFonts w:hint="default" w:ascii="Times New Roman" w:hAnsi="Times New Roman" w:eastAsia="宋体" w:cs="Times New Roman"/>
                <w:b w:val="0"/>
                <w:bCs w:val="0"/>
                <w:color w:val="auto"/>
                <w:vertAlign w:val="subscript"/>
                <w:lang w:val="en-US" w:eastAsia="zh-CN"/>
              </w:rPr>
              <w:t>40</w:t>
            </w:r>
          </w:p>
        </w:tc>
        <w:tc>
          <w:tcPr>
            <w:tcW w:w="750" w:type="pct"/>
            <w:vAlign w:val="center"/>
          </w:tcPr>
          <w:p>
            <w:pPr>
              <w:jc w:val="center"/>
              <w:rPr>
                <w:rFonts w:ascii="Times New Roman" w:hAnsi="Times New Roman"/>
                <w:szCs w:val="21"/>
              </w:rPr>
            </w:pPr>
            <w:r>
              <w:rPr>
                <w:rFonts w:ascii="Times New Roman" w:hAnsi="Times New Roman"/>
                <w:szCs w:val="21"/>
              </w:rPr>
              <w:t>泄露</w:t>
            </w:r>
            <w:r>
              <w:rPr>
                <w:rFonts w:hint="eastAsia" w:ascii="Times New Roman" w:hAnsi="Times New Roman"/>
                <w:szCs w:val="21"/>
              </w:rPr>
              <w:t>、</w:t>
            </w:r>
            <w:r>
              <w:rPr>
                <w:rFonts w:ascii="Times New Roman" w:hAnsi="Times New Roman"/>
                <w:szCs w:val="21"/>
              </w:rPr>
              <w:t>淋滤</w:t>
            </w:r>
            <w:r>
              <w:rPr>
                <w:rFonts w:hint="eastAsia" w:ascii="Times New Roman" w:hAnsi="Times New Roman"/>
                <w:szCs w:val="21"/>
              </w:rPr>
              <w:t>、沉降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vAlign w:val="center"/>
          </w:tcPr>
          <w:p>
            <w:pPr>
              <w:jc w:val="center"/>
              <w:rPr>
                <w:rFonts w:ascii="Times New Roman" w:hAnsi="Times New Roman"/>
                <w:szCs w:val="21"/>
              </w:rPr>
            </w:pPr>
            <w:r>
              <w:rPr>
                <w:rFonts w:hint="default" w:ascii="Times New Roman" w:hAnsi="Times New Roman" w:eastAsia="宋体" w:cs="Times New Roman"/>
                <w:b w:val="0"/>
                <w:bCs w:val="0"/>
                <w:color w:val="auto"/>
                <w:lang w:val="en-US" w:eastAsia="zh-CN"/>
              </w:rPr>
              <w:t>丙类仓库</w:t>
            </w:r>
          </w:p>
        </w:tc>
        <w:tc>
          <w:tcPr>
            <w:tcW w:w="1023" w:type="pc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原辅料的贮存（丙类）</w:t>
            </w:r>
          </w:p>
        </w:tc>
        <w:tc>
          <w:tcPr>
            <w:tcW w:w="1193" w:type="pct"/>
            <w:vAlign w:val="center"/>
          </w:tcPr>
          <w:p>
            <w:pPr>
              <w:jc w:val="center"/>
              <w:rPr>
                <w:rFonts w:ascii="Times New Roman" w:hAnsi="Times New Roman"/>
                <w:szCs w:val="21"/>
              </w:rPr>
            </w:pPr>
            <w:r>
              <w:rPr>
                <w:rFonts w:hint="default" w:ascii="Times New Roman" w:hAnsi="Times New Roman" w:cs="Times New Roman"/>
                <w:color w:val="auto"/>
                <w:szCs w:val="21"/>
              </w:rPr>
              <w:t>二丁基乙醇胺</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甲基聚醚</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石油烃</w:t>
            </w:r>
          </w:p>
        </w:tc>
        <w:tc>
          <w:tcPr>
            <w:tcW w:w="836" w:type="pct"/>
            <w:vAlign w:val="center"/>
          </w:tcPr>
          <w:p>
            <w:pPr>
              <w:jc w:val="center"/>
              <w:rPr>
                <w:rFonts w:ascii="Times New Roman" w:hAnsi="Times New Roman"/>
                <w:szCs w:val="21"/>
              </w:rPr>
            </w:pPr>
            <w:r>
              <w:rPr>
                <w:rFonts w:hint="eastAsia" w:ascii="Times New Roman" w:hAnsi="Times New Roman" w:eastAsia="宋体" w:cs="Times New Roman"/>
                <w:b w:val="0"/>
                <w:bCs w:val="0"/>
                <w:color w:val="auto"/>
                <w:lang w:val="en-US" w:eastAsia="zh-CN"/>
              </w:rPr>
              <w:t>pH、</w:t>
            </w:r>
            <w:r>
              <w:rPr>
                <w:rFonts w:hint="eastAsia" w:ascii="Times New Roman" w:hAnsi="Times New Roman" w:cs="Times New Roman"/>
                <w:b w:val="0"/>
                <w:bCs w:val="0"/>
                <w:color w:val="auto"/>
                <w:lang w:val="en-US" w:eastAsia="zh-CN"/>
              </w:rPr>
              <w:t>VOCs</w:t>
            </w:r>
            <w:r>
              <w:rPr>
                <w:rFonts w:hint="eastAsia" w:ascii="Times New Roman" w:hAnsi="Times New Roman" w:eastAsia="宋体" w:cs="Times New Roman"/>
                <w:b w:val="0"/>
                <w:bCs w:val="0"/>
                <w:color w:val="auto"/>
                <w:lang w:val="en-US" w:eastAsia="zh-CN"/>
              </w:rPr>
              <w:t>、</w:t>
            </w:r>
            <w:r>
              <w:rPr>
                <w:rFonts w:hint="eastAsia" w:ascii="Times New Roman" w:hAnsi="Times New Roman" w:cs="Times New Roman"/>
                <w:b w:val="0"/>
                <w:bCs w:val="0"/>
                <w:color w:val="auto"/>
                <w:lang w:val="en-US" w:eastAsia="zh-CN"/>
              </w:rPr>
              <w:t>SVOCs、</w:t>
            </w:r>
            <w:r>
              <w:rPr>
                <w:rFonts w:hint="default" w:ascii="Times New Roman" w:hAnsi="Times New Roman" w:eastAsia="宋体" w:cs="Times New Roman"/>
                <w:b w:val="0"/>
                <w:bCs w:val="0"/>
                <w:color w:val="auto"/>
                <w:lang w:val="en-US" w:eastAsia="zh-CN"/>
              </w:rPr>
              <w:t>石油烃C</w:t>
            </w:r>
            <w:r>
              <w:rPr>
                <w:rFonts w:hint="default" w:ascii="Times New Roman" w:hAnsi="Times New Roman" w:eastAsia="宋体" w:cs="Times New Roman"/>
                <w:b w:val="0"/>
                <w:bCs w:val="0"/>
                <w:color w:val="auto"/>
                <w:vertAlign w:val="subscript"/>
                <w:lang w:val="en-US" w:eastAsia="zh-CN"/>
              </w:rPr>
              <w:t>10</w:t>
            </w:r>
            <w:r>
              <w:rPr>
                <w:rFonts w:hint="default" w:ascii="Times New Roman" w:hAnsi="Times New Roman" w:eastAsia="宋体" w:cs="Times New Roman"/>
                <w:b w:val="0"/>
                <w:bCs w:val="0"/>
                <w:color w:val="auto"/>
                <w:lang w:val="en-US" w:eastAsia="zh-CN"/>
              </w:rPr>
              <w:t>～C</w:t>
            </w:r>
            <w:r>
              <w:rPr>
                <w:rFonts w:hint="default" w:ascii="Times New Roman" w:hAnsi="Times New Roman" w:eastAsia="宋体" w:cs="Times New Roman"/>
                <w:b w:val="0"/>
                <w:bCs w:val="0"/>
                <w:color w:val="auto"/>
                <w:vertAlign w:val="subscript"/>
                <w:lang w:val="en-US" w:eastAsia="zh-CN"/>
              </w:rPr>
              <w:t>40</w:t>
            </w:r>
          </w:p>
        </w:tc>
        <w:tc>
          <w:tcPr>
            <w:tcW w:w="750" w:type="pct"/>
            <w:vAlign w:val="center"/>
          </w:tcPr>
          <w:p>
            <w:pPr>
              <w:jc w:val="center"/>
              <w:rPr>
                <w:rFonts w:ascii="Times New Roman" w:hAnsi="Times New Roman"/>
                <w:szCs w:val="21"/>
              </w:rPr>
            </w:pPr>
            <w:r>
              <w:rPr>
                <w:rFonts w:ascii="Times New Roman" w:hAnsi="Times New Roman"/>
                <w:szCs w:val="21"/>
              </w:rPr>
              <w:t>泄露</w:t>
            </w:r>
            <w:r>
              <w:rPr>
                <w:rFonts w:hint="eastAsia" w:ascii="Times New Roman" w:hAnsi="Times New Roman"/>
                <w:szCs w:val="21"/>
              </w:rPr>
              <w:t>、</w:t>
            </w:r>
            <w:r>
              <w:rPr>
                <w:rFonts w:ascii="Times New Roman" w:hAnsi="Times New Roman"/>
                <w:szCs w:val="21"/>
              </w:rPr>
              <w:t>淋滤</w:t>
            </w:r>
            <w:r>
              <w:rPr>
                <w:rFonts w:hint="eastAsia" w:ascii="Times New Roman" w:hAnsi="Times New Roman"/>
                <w:szCs w:val="21"/>
              </w:rPr>
              <w:t>、沉降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vAlign w:val="center"/>
          </w:tcPr>
          <w:p>
            <w:pPr>
              <w:jc w:val="center"/>
              <w:rPr>
                <w:rFonts w:ascii="Times New Roman" w:hAnsi="Times New Roman"/>
                <w:szCs w:val="21"/>
              </w:rPr>
            </w:pPr>
            <w:r>
              <w:rPr>
                <w:rFonts w:hint="default" w:ascii="Times New Roman" w:hAnsi="Times New Roman" w:eastAsia="宋体" w:cs="Times New Roman"/>
                <w:b w:val="0"/>
                <w:bCs w:val="0"/>
                <w:color w:val="auto"/>
                <w:lang w:val="en-US" w:eastAsia="zh-CN"/>
              </w:rPr>
              <w:t>甲类仓库</w:t>
            </w:r>
          </w:p>
        </w:tc>
        <w:tc>
          <w:tcPr>
            <w:tcW w:w="1023" w:type="pct"/>
            <w:vAlign w:val="center"/>
          </w:tcPr>
          <w:p>
            <w:pPr>
              <w:jc w:val="center"/>
              <w:rPr>
                <w:rFonts w:ascii="Times New Roman" w:hAnsi="Times New Roman"/>
                <w:szCs w:val="21"/>
              </w:rPr>
            </w:pPr>
            <w:r>
              <w:rPr>
                <w:rFonts w:hint="eastAsia" w:ascii="Times New Roman" w:hAnsi="Times New Roman"/>
                <w:szCs w:val="21"/>
                <w:lang w:val="en-US" w:eastAsia="zh-CN"/>
              </w:rPr>
              <w:t>原辅料的贮存（甲类）</w:t>
            </w:r>
          </w:p>
        </w:tc>
        <w:tc>
          <w:tcPr>
            <w:tcW w:w="1193" w:type="pct"/>
            <w:vAlign w:val="center"/>
          </w:tcPr>
          <w:p>
            <w:pPr>
              <w:jc w:val="center"/>
              <w:rPr>
                <w:rFonts w:ascii="Times New Roman" w:hAnsi="Times New Roman"/>
                <w:szCs w:val="21"/>
              </w:rPr>
            </w:pPr>
            <w:r>
              <w:rPr>
                <w:rFonts w:hint="default" w:ascii="Times New Roman" w:hAnsi="Times New Roman" w:cs="Times New Roman"/>
                <w:color w:val="auto"/>
                <w:sz w:val="21"/>
                <w:szCs w:val="21"/>
              </w:rPr>
              <w:t>六甲基二硅氧烷</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 w:val="21"/>
                <w:szCs w:val="21"/>
                <w:lang w:val="en-US" w:eastAsia="zh-CN"/>
              </w:rPr>
              <w:t>1,3-二乙烯基-1,1,3,3-四甲基二硅氧烷、乙醇、</w:t>
            </w:r>
            <w:r>
              <w:rPr>
                <w:rFonts w:hint="default" w:ascii="Times New Roman" w:hAnsi="Times New Roman" w:cs="Times New Roman"/>
                <w:color w:val="auto"/>
                <w:sz w:val="21"/>
                <w:szCs w:val="21"/>
              </w:rPr>
              <w:t>双氧水</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Cs w:val="21"/>
                <w:lang w:val="en-US" w:eastAsia="zh-CN"/>
              </w:rPr>
              <w:t>石油烃</w:t>
            </w:r>
          </w:p>
        </w:tc>
        <w:tc>
          <w:tcPr>
            <w:tcW w:w="836" w:type="pct"/>
            <w:vAlign w:val="center"/>
          </w:tcPr>
          <w:p>
            <w:pPr>
              <w:jc w:val="center"/>
              <w:rPr>
                <w:rFonts w:ascii="Times New Roman" w:hAnsi="Times New Roman"/>
                <w:szCs w:val="21"/>
              </w:rPr>
            </w:pPr>
            <w:r>
              <w:rPr>
                <w:rFonts w:hint="eastAsia" w:ascii="Times New Roman" w:hAnsi="Times New Roman" w:eastAsia="宋体" w:cs="Times New Roman"/>
                <w:b w:val="0"/>
                <w:bCs w:val="0"/>
                <w:color w:val="auto"/>
                <w:lang w:val="en-US" w:eastAsia="zh-CN"/>
              </w:rPr>
              <w:t>pH、</w:t>
            </w:r>
            <w:r>
              <w:rPr>
                <w:rFonts w:hint="eastAsia" w:ascii="Times New Roman" w:hAnsi="Times New Roman" w:cs="Times New Roman"/>
                <w:b w:val="0"/>
                <w:bCs w:val="0"/>
                <w:color w:val="auto"/>
                <w:lang w:val="en-US" w:eastAsia="zh-CN"/>
              </w:rPr>
              <w:t>VOCs</w:t>
            </w:r>
            <w:r>
              <w:rPr>
                <w:rFonts w:hint="eastAsia" w:ascii="Times New Roman" w:hAnsi="Times New Roman" w:eastAsia="宋体" w:cs="Times New Roman"/>
                <w:b w:val="0"/>
                <w:bCs w:val="0"/>
                <w:color w:val="auto"/>
                <w:lang w:val="en-US" w:eastAsia="zh-CN"/>
              </w:rPr>
              <w:t>、</w:t>
            </w:r>
            <w:r>
              <w:rPr>
                <w:rFonts w:hint="eastAsia" w:ascii="Times New Roman" w:hAnsi="Times New Roman" w:cs="Times New Roman"/>
                <w:b w:val="0"/>
                <w:bCs w:val="0"/>
                <w:color w:val="auto"/>
                <w:lang w:val="en-US" w:eastAsia="zh-CN"/>
              </w:rPr>
              <w:t>SVOCs、</w:t>
            </w:r>
            <w:r>
              <w:rPr>
                <w:rFonts w:hint="default" w:ascii="Times New Roman" w:hAnsi="Times New Roman" w:eastAsia="宋体" w:cs="Times New Roman"/>
                <w:b w:val="0"/>
                <w:bCs w:val="0"/>
                <w:color w:val="auto"/>
                <w:lang w:val="en-US" w:eastAsia="zh-CN"/>
              </w:rPr>
              <w:t>石油烃C</w:t>
            </w:r>
            <w:r>
              <w:rPr>
                <w:rFonts w:hint="default" w:ascii="Times New Roman" w:hAnsi="Times New Roman" w:eastAsia="宋体" w:cs="Times New Roman"/>
                <w:b w:val="0"/>
                <w:bCs w:val="0"/>
                <w:color w:val="auto"/>
                <w:vertAlign w:val="subscript"/>
                <w:lang w:val="en-US" w:eastAsia="zh-CN"/>
              </w:rPr>
              <w:t>10</w:t>
            </w:r>
            <w:r>
              <w:rPr>
                <w:rFonts w:hint="default" w:ascii="Times New Roman" w:hAnsi="Times New Roman" w:eastAsia="宋体" w:cs="Times New Roman"/>
                <w:b w:val="0"/>
                <w:bCs w:val="0"/>
                <w:color w:val="auto"/>
                <w:lang w:val="en-US" w:eastAsia="zh-CN"/>
              </w:rPr>
              <w:t>～C</w:t>
            </w:r>
            <w:r>
              <w:rPr>
                <w:rFonts w:hint="default" w:ascii="Times New Roman" w:hAnsi="Times New Roman" w:eastAsia="宋体" w:cs="Times New Roman"/>
                <w:b w:val="0"/>
                <w:bCs w:val="0"/>
                <w:color w:val="auto"/>
                <w:vertAlign w:val="subscript"/>
                <w:lang w:val="en-US" w:eastAsia="zh-CN"/>
              </w:rPr>
              <w:t>40</w:t>
            </w:r>
          </w:p>
        </w:tc>
        <w:tc>
          <w:tcPr>
            <w:tcW w:w="750" w:type="pct"/>
            <w:vAlign w:val="center"/>
          </w:tcPr>
          <w:p>
            <w:pPr>
              <w:jc w:val="center"/>
              <w:rPr>
                <w:rFonts w:ascii="Times New Roman" w:hAnsi="Times New Roman"/>
                <w:szCs w:val="21"/>
              </w:rPr>
            </w:pPr>
            <w:r>
              <w:rPr>
                <w:rFonts w:ascii="Times New Roman" w:hAnsi="Times New Roman"/>
                <w:szCs w:val="21"/>
              </w:rPr>
              <w:t>泄露</w:t>
            </w:r>
            <w:r>
              <w:rPr>
                <w:rFonts w:hint="eastAsia" w:ascii="Times New Roman" w:hAnsi="Times New Roman"/>
                <w:szCs w:val="21"/>
              </w:rPr>
              <w:t>、</w:t>
            </w:r>
            <w:r>
              <w:rPr>
                <w:rFonts w:ascii="Times New Roman" w:hAnsi="Times New Roman"/>
                <w:szCs w:val="21"/>
              </w:rPr>
              <w:t>淋滤</w:t>
            </w:r>
            <w:r>
              <w:rPr>
                <w:rFonts w:hint="eastAsia" w:ascii="Times New Roman" w:hAnsi="Times New Roman"/>
                <w:szCs w:val="21"/>
              </w:rPr>
              <w:t>、沉降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vAlign w:val="center"/>
          </w:tcPr>
          <w:p>
            <w:pPr>
              <w:jc w:val="center"/>
              <w:rPr>
                <w:rFonts w:ascii="Times New Roman" w:hAnsi="Times New Roman"/>
                <w:szCs w:val="21"/>
              </w:rPr>
            </w:pPr>
            <w:r>
              <w:rPr>
                <w:rFonts w:hint="default" w:ascii="Times New Roman" w:hAnsi="Times New Roman" w:eastAsia="宋体" w:cs="Times New Roman"/>
                <w:b w:val="0"/>
                <w:bCs w:val="0"/>
                <w:color w:val="auto"/>
                <w:lang w:val="en-US" w:eastAsia="zh-CN"/>
              </w:rPr>
              <w:t>甲类罐区</w:t>
            </w:r>
          </w:p>
        </w:tc>
        <w:tc>
          <w:tcPr>
            <w:tcW w:w="1023" w:type="pc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物料的储存</w:t>
            </w:r>
          </w:p>
        </w:tc>
        <w:tc>
          <w:tcPr>
            <w:tcW w:w="1193" w:type="pct"/>
            <w:vAlign w:val="center"/>
          </w:tcPr>
          <w:p>
            <w:pPr>
              <w:jc w:val="center"/>
              <w:rPr>
                <w:rFonts w:ascii="Times New Roman" w:hAnsi="Times New Roman"/>
                <w:szCs w:val="21"/>
              </w:rPr>
            </w:pPr>
            <w:r>
              <w:rPr>
                <w:rFonts w:hint="default" w:ascii="Times New Roman" w:hAnsi="Times New Roman" w:eastAsia="宋体" w:cs="Times New Roman"/>
                <w:color w:val="auto"/>
                <w:sz w:val="21"/>
                <w:szCs w:val="21"/>
              </w:rPr>
              <w:t>八甲基环四硅氧烷</w:t>
            </w:r>
          </w:p>
        </w:tc>
        <w:tc>
          <w:tcPr>
            <w:tcW w:w="836" w:type="pct"/>
            <w:vAlign w:val="center"/>
          </w:tcPr>
          <w:p>
            <w:pPr>
              <w:jc w:val="center"/>
              <w:rPr>
                <w:rFonts w:ascii="Times New Roman" w:hAnsi="Times New Roman"/>
                <w:szCs w:val="21"/>
              </w:rPr>
            </w:pPr>
            <w:r>
              <w:rPr>
                <w:rFonts w:hint="eastAsia" w:ascii="Times New Roman" w:hAnsi="Times New Roman" w:eastAsia="宋体" w:cs="Times New Roman"/>
                <w:b w:val="0"/>
                <w:bCs w:val="0"/>
                <w:color w:val="auto"/>
                <w:lang w:val="en-US" w:eastAsia="zh-CN"/>
              </w:rPr>
              <w:t>pH、</w:t>
            </w:r>
            <w:r>
              <w:rPr>
                <w:rFonts w:hint="default" w:ascii="Times New Roman" w:hAnsi="Times New Roman" w:eastAsia="宋体" w:cs="Times New Roman"/>
                <w:b w:val="0"/>
                <w:bCs w:val="0"/>
                <w:color w:val="auto"/>
                <w:lang w:val="en-US" w:eastAsia="zh-CN"/>
              </w:rPr>
              <w:t>石油烃C</w:t>
            </w:r>
            <w:r>
              <w:rPr>
                <w:rFonts w:hint="default" w:ascii="Times New Roman" w:hAnsi="Times New Roman" w:eastAsia="宋体" w:cs="Times New Roman"/>
                <w:b w:val="0"/>
                <w:bCs w:val="0"/>
                <w:color w:val="auto"/>
                <w:vertAlign w:val="subscript"/>
                <w:lang w:val="en-US" w:eastAsia="zh-CN"/>
              </w:rPr>
              <w:t>10</w:t>
            </w:r>
            <w:r>
              <w:rPr>
                <w:rFonts w:hint="default" w:ascii="Times New Roman" w:hAnsi="Times New Roman" w:eastAsia="宋体" w:cs="Times New Roman"/>
                <w:b w:val="0"/>
                <w:bCs w:val="0"/>
                <w:color w:val="auto"/>
                <w:lang w:val="en-US" w:eastAsia="zh-CN"/>
              </w:rPr>
              <w:t>～C</w:t>
            </w:r>
            <w:r>
              <w:rPr>
                <w:rFonts w:hint="default" w:ascii="Times New Roman" w:hAnsi="Times New Roman" w:eastAsia="宋体" w:cs="Times New Roman"/>
                <w:b w:val="0"/>
                <w:bCs w:val="0"/>
                <w:color w:val="auto"/>
                <w:vertAlign w:val="subscript"/>
                <w:lang w:val="en-US" w:eastAsia="zh-CN"/>
              </w:rPr>
              <w:t>40</w:t>
            </w:r>
          </w:p>
        </w:tc>
        <w:tc>
          <w:tcPr>
            <w:tcW w:w="750" w:type="pct"/>
            <w:vAlign w:val="center"/>
          </w:tcPr>
          <w:p>
            <w:pPr>
              <w:jc w:val="center"/>
              <w:rPr>
                <w:rFonts w:ascii="Times New Roman" w:hAnsi="Times New Roman"/>
                <w:szCs w:val="21"/>
              </w:rPr>
            </w:pPr>
            <w:r>
              <w:rPr>
                <w:rFonts w:ascii="Times New Roman" w:hAnsi="Times New Roman"/>
                <w:szCs w:val="21"/>
              </w:rPr>
              <w:t>泄露</w:t>
            </w:r>
            <w:r>
              <w:rPr>
                <w:rFonts w:hint="eastAsia" w:ascii="Times New Roman" w:hAnsi="Times New Roman"/>
                <w:szCs w:val="21"/>
              </w:rPr>
              <w:t>、</w:t>
            </w:r>
            <w:r>
              <w:rPr>
                <w:rFonts w:ascii="Times New Roman" w:hAnsi="Times New Roman"/>
                <w:szCs w:val="21"/>
              </w:rPr>
              <w:t>淋滤</w:t>
            </w:r>
            <w:r>
              <w:rPr>
                <w:rFonts w:hint="eastAsia" w:ascii="Times New Roman" w:hAnsi="Times New Roman"/>
                <w:szCs w:val="21"/>
              </w:rPr>
              <w:t>、沉降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vAlign w:val="center"/>
          </w:tcPr>
          <w:p>
            <w:pPr>
              <w:jc w:val="center"/>
              <w:rPr>
                <w:rFonts w:ascii="Times New Roman" w:hAnsi="Times New Roman"/>
                <w:szCs w:val="21"/>
              </w:rPr>
            </w:pPr>
            <w:r>
              <w:rPr>
                <w:rFonts w:hint="default" w:ascii="Times New Roman" w:hAnsi="Times New Roman" w:eastAsia="宋体" w:cs="Times New Roman"/>
                <w:b w:val="0"/>
                <w:bCs w:val="0"/>
                <w:color w:val="auto"/>
                <w:lang w:val="en-US" w:eastAsia="zh-CN"/>
              </w:rPr>
              <w:t>丙类罐区</w:t>
            </w:r>
          </w:p>
        </w:tc>
        <w:tc>
          <w:tcPr>
            <w:tcW w:w="1023" w:type="pct"/>
            <w:vAlign w:val="center"/>
          </w:tcPr>
          <w:p>
            <w:pPr>
              <w:jc w:val="center"/>
              <w:rPr>
                <w:rFonts w:ascii="Times New Roman" w:hAnsi="Times New Roman"/>
                <w:szCs w:val="21"/>
              </w:rPr>
            </w:pPr>
            <w:r>
              <w:rPr>
                <w:rFonts w:hint="eastAsia" w:ascii="Times New Roman" w:hAnsi="Times New Roman"/>
                <w:szCs w:val="21"/>
                <w:lang w:val="en-US" w:eastAsia="zh-CN"/>
              </w:rPr>
              <w:t>物料的储存</w:t>
            </w:r>
          </w:p>
        </w:tc>
        <w:tc>
          <w:tcPr>
            <w:tcW w:w="1193" w:type="pct"/>
            <w:vAlign w:val="center"/>
          </w:tcPr>
          <w:p>
            <w:pPr>
              <w:jc w:val="center"/>
              <w:rPr>
                <w:rFonts w:ascii="Times New Roman" w:hAnsi="Times New Roman"/>
                <w:szCs w:val="21"/>
              </w:rPr>
            </w:pPr>
            <w:r>
              <w:rPr>
                <w:rFonts w:hint="default" w:ascii="Times New Roman" w:hAnsi="Times New Roman" w:cs="Times New Roman"/>
                <w:color w:val="auto"/>
                <w:szCs w:val="21"/>
                <w:lang w:val="en-US" w:eastAsia="zh-CN"/>
              </w:rPr>
              <w:t>石油烃</w:t>
            </w:r>
            <w:r>
              <w:rPr>
                <w:rFonts w:hint="default" w:ascii="Times New Roman" w:hAnsi="Times New Roman" w:cs="Times New Roman"/>
                <w:color w:val="auto"/>
                <w:szCs w:val="21"/>
                <w:vertAlign w:val="baseline"/>
                <w:lang w:val="en-US" w:eastAsia="zh-CN"/>
              </w:rPr>
              <w:t>、</w:t>
            </w:r>
            <w:r>
              <w:rPr>
                <w:rFonts w:hint="default" w:ascii="Times New Roman" w:hAnsi="Times New Roman" w:eastAsia="宋体" w:cs="Times New Roman"/>
                <w:color w:val="auto"/>
                <w:sz w:val="21"/>
                <w:szCs w:val="21"/>
              </w:rPr>
              <w:t>烯丙基聚醚</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烯丙基乙酰基聚醚</w:t>
            </w:r>
          </w:p>
        </w:tc>
        <w:tc>
          <w:tcPr>
            <w:tcW w:w="836" w:type="pct"/>
            <w:vAlign w:val="center"/>
          </w:tcPr>
          <w:p>
            <w:pPr>
              <w:jc w:val="center"/>
              <w:rPr>
                <w:rFonts w:ascii="Times New Roman" w:hAnsi="Times New Roman"/>
                <w:szCs w:val="21"/>
              </w:rPr>
            </w:pPr>
            <w:r>
              <w:rPr>
                <w:rFonts w:hint="eastAsia" w:ascii="Times New Roman" w:hAnsi="Times New Roman" w:eastAsia="宋体" w:cs="Times New Roman"/>
                <w:b w:val="0"/>
                <w:bCs w:val="0"/>
                <w:color w:val="auto"/>
                <w:lang w:val="en-US" w:eastAsia="zh-CN"/>
              </w:rPr>
              <w:t>pH、</w:t>
            </w:r>
            <w:r>
              <w:rPr>
                <w:rFonts w:hint="eastAsia" w:ascii="Times New Roman" w:hAnsi="Times New Roman" w:cs="Times New Roman"/>
                <w:b w:val="0"/>
                <w:bCs w:val="0"/>
                <w:color w:val="auto"/>
                <w:lang w:val="en-US" w:eastAsia="zh-CN"/>
              </w:rPr>
              <w:t>VOCs</w:t>
            </w:r>
            <w:r>
              <w:rPr>
                <w:rFonts w:hint="eastAsia" w:ascii="Times New Roman" w:hAnsi="Times New Roman" w:eastAsia="宋体" w:cs="Times New Roman"/>
                <w:b w:val="0"/>
                <w:bCs w:val="0"/>
                <w:color w:val="auto"/>
                <w:lang w:val="en-US" w:eastAsia="zh-CN"/>
              </w:rPr>
              <w:t>、</w:t>
            </w:r>
            <w:r>
              <w:rPr>
                <w:rFonts w:hint="eastAsia" w:ascii="Times New Roman" w:hAnsi="Times New Roman" w:cs="Times New Roman"/>
                <w:b w:val="0"/>
                <w:bCs w:val="0"/>
                <w:color w:val="auto"/>
                <w:lang w:val="en-US" w:eastAsia="zh-CN"/>
              </w:rPr>
              <w:t>SVOCs、</w:t>
            </w:r>
            <w:r>
              <w:rPr>
                <w:rFonts w:hint="default" w:ascii="Times New Roman" w:hAnsi="Times New Roman" w:eastAsia="宋体" w:cs="Times New Roman"/>
                <w:b w:val="0"/>
                <w:bCs w:val="0"/>
                <w:color w:val="auto"/>
                <w:lang w:val="en-US" w:eastAsia="zh-CN"/>
              </w:rPr>
              <w:t>石油烃C</w:t>
            </w:r>
            <w:r>
              <w:rPr>
                <w:rFonts w:hint="default" w:ascii="Times New Roman" w:hAnsi="Times New Roman" w:eastAsia="宋体" w:cs="Times New Roman"/>
                <w:b w:val="0"/>
                <w:bCs w:val="0"/>
                <w:color w:val="auto"/>
                <w:vertAlign w:val="subscript"/>
                <w:lang w:val="en-US" w:eastAsia="zh-CN"/>
              </w:rPr>
              <w:t>10</w:t>
            </w:r>
            <w:r>
              <w:rPr>
                <w:rFonts w:hint="default" w:ascii="Times New Roman" w:hAnsi="Times New Roman" w:eastAsia="宋体" w:cs="Times New Roman"/>
                <w:b w:val="0"/>
                <w:bCs w:val="0"/>
                <w:color w:val="auto"/>
                <w:lang w:val="en-US" w:eastAsia="zh-CN"/>
              </w:rPr>
              <w:t>～C</w:t>
            </w:r>
            <w:r>
              <w:rPr>
                <w:rFonts w:hint="default" w:ascii="Times New Roman" w:hAnsi="Times New Roman" w:eastAsia="宋体" w:cs="Times New Roman"/>
                <w:b w:val="0"/>
                <w:bCs w:val="0"/>
                <w:color w:val="auto"/>
                <w:vertAlign w:val="subscript"/>
                <w:lang w:val="en-US" w:eastAsia="zh-CN"/>
              </w:rPr>
              <w:t>40</w:t>
            </w:r>
          </w:p>
        </w:tc>
        <w:tc>
          <w:tcPr>
            <w:tcW w:w="750" w:type="pct"/>
            <w:vAlign w:val="center"/>
          </w:tcPr>
          <w:p>
            <w:pPr>
              <w:jc w:val="center"/>
              <w:rPr>
                <w:rFonts w:ascii="Times New Roman" w:hAnsi="Times New Roman"/>
                <w:szCs w:val="21"/>
              </w:rPr>
            </w:pPr>
            <w:r>
              <w:rPr>
                <w:rFonts w:ascii="Times New Roman" w:hAnsi="Times New Roman"/>
                <w:szCs w:val="21"/>
              </w:rPr>
              <w:t>泄露</w:t>
            </w:r>
            <w:r>
              <w:rPr>
                <w:rFonts w:hint="eastAsia" w:ascii="Times New Roman" w:hAnsi="Times New Roman"/>
                <w:szCs w:val="21"/>
              </w:rPr>
              <w:t>、</w:t>
            </w:r>
            <w:r>
              <w:rPr>
                <w:rFonts w:ascii="Times New Roman" w:hAnsi="Times New Roman"/>
                <w:szCs w:val="21"/>
              </w:rPr>
              <w:t>淋滤</w:t>
            </w:r>
            <w:r>
              <w:rPr>
                <w:rFonts w:hint="eastAsia" w:ascii="Times New Roman" w:hAnsi="Times New Roman"/>
                <w:szCs w:val="21"/>
              </w:rPr>
              <w:t>、沉降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vAlign w:val="center"/>
          </w:tcPr>
          <w:p>
            <w:pPr>
              <w:jc w:val="center"/>
              <w:rPr>
                <w:rFonts w:ascii="Times New Roman" w:hAnsi="Times New Roman"/>
                <w:szCs w:val="21"/>
              </w:rPr>
            </w:pPr>
            <w:r>
              <w:rPr>
                <w:rFonts w:hint="default" w:ascii="Times New Roman" w:hAnsi="Times New Roman" w:cs="Times New Roman"/>
                <w:b w:val="0"/>
                <w:bCs w:val="0"/>
                <w:color w:val="auto"/>
                <w:lang w:val="en-US" w:eastAsia="zh-CN"/>
              </w:rPr>
              <w:t>危废仓库</w:t>
            </w:r>
          </w:p>
        </w:tc>
        <w:tc>
          <w:tcPr>
            <w:tcW w:w="1023" w:type="pc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危险废物的暂存</w:t>
            </w:r>
          </w:p>
        </w:tc>
        <w:tc>
          <w:tcPr>
            <w:tcW w:w="1193" w:type="pct"/>
            <w:vAlign w:val="center"/>
          </w:tcPr>
          <w:p>
            <w:pPr>
              <w:jc w:val="center"/>
              <w:rPr>
                <w:rFonts w:hint="default" w:ascii="Times New Roman" w:hAnsi="Times New Roman"/>
                <w:szCs w:val="21"/>
                <w:lang w:val="en-US"/>
              </w:rPr>
            </w:pPr>
            <w:r>
              <w:rPr>
                <w:rFonts w:hint="default" w:ascii="Times New Roman" w:hAnsi="Times New Roman" w:cs="Times New Roman"/>
                <w:color w:val="auto"/>
              </w:rPr>
              <w:t>甲苯、丙烯酸</w:t>
            </w:r>
            <w:r>
              <w:rPr>
                <w:rFonts w:hint="default" w:ascii="Times New Roman" w:hAnsi="Times New Roman" w:cs="Times New Roman"/>
                <w:color w:val="auto"/>
                <w:lang w:eastAsia="zh-CN"/>
              </w:rPr>
              <w:t>、</w:t>
            </w:r>
            <w:r>
              <w:rPr>
                <w:rFonts w:hint="default" w:ascii="Times New Roman" w:hAnsi="Times New Roman" w:cs="Times New Roman"/>
                <w:color w:val="auto"/>
                <w:szCs w:val="21"/>
              </w:rPr>
              <w:t>六甲基二硅氧烷</w:t>
            </w:r>
            <w:r>
              <w:rPr>
                <w:rFonts w:hint="default" w:ascii="Times New Roman" w:hAnsi="Times New Roman" w:cs="Times New Roman"/>
                <w:color w:val="auto"/>
                <w:szCs w:val="21"/>
                <w:lang w:eastAsia="zh-CN"/>
              </w:rPr>
              <w:t>、</w:t>
            </w:r>
            <w:r>
              <w:rPr>
                <w:rFonts w:hint="default" w:ascii="Times New Roman" w:hAnsi="Times New Roman" w:cs="Times New Roman"/>
                <w:snapToGrid w:val="0"/>
                <w:color w:val="auto"/>
                <w:szCs w:val="21"/>
              </w:rPr>
              <w:t>二叔丁基甲基苯酚</w:t>
            </w:r>
            <w:r>
              <w:rPr>
                <w:rFonts w:hint="default" w:ascii="Times New Roman" w:hAnsi="Times New Roman" w:cs="Times New Roman"/>
                <w:snapToGrid w:val="0"/>
                <w:color w:val="auto"/>
                <w:szCs w:val="21"/>
                <w:lang w:eastAsia="zh-CN"/>
              </w:rPr>
              <w:t>、</w:t>
            </w:r>
            <w:r>
              <w:rPr>
                <w:rFonts w:hint="default" w:ascii="Times New Roman" w:hAnsi="Times New Roman" w:cs="Times New Roman"/>
                <w:color w:val="auto"/>
                <w:szCs w:val="21"/>
              </w:rPr>
              <w:t>二丁基乙醇胺</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甲基聚醚</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二叔丁基对苯二酚</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石油烃</w:t>
            </w:r>
          </w:p>
        </w:tc>
        <w:tc>
          <w:tcPr>
            <w:tcW w:w="836" w:type="pct"/>
            <w:vAlign w:val="center"/>
          </w:tcPr>
          <w:p>
            <w:pPr>
              <w:jc w:val="center"/>
              <w:rPr>
                <w:rFonts w:ascii="Times New Roman" w:hAnsi="Times New Roman"/>
                <w:szCs w:val="21"/>
              </w:rPr>
            </w:pPr>
            <w:r>
              <w:rPr>
                <w:rFonts w:hint="eastAsia" w:ascii="Times New Roman" w:hAnsi="Times New Roman" w:eastAsia="宋体" w:cs="Times New Roman"/>
                <w:b w:val="0"/>
                <w:bCs w:val="0"/>
                <w:color w:val="auto"/>
                <w:lang w:val="en-US" w:eastAsia="zh-CN"/>
              </w:rPr>
              <w:t>pH、</w:t>
            </w:r>
            <w:r>
              <w:rPr>
                <w:rFonts w:hint="eastAsia" w:ascii="Times New Roman" w:hAnsi="Times New Roman" w:cs="Times New Roman"/>
                <w:b w:val="0"/>
                <w:bCs w:val="0"/>
                <w:color w:val="auto"/>
                <w:lang w:val="en-US" w:eastAsia="zh-CN"/>
              </w:rPr>
              <w:t>VOCs</w:t>
            </w:r>
            <w:r>
              <w:rPr>
                <w:rFonts w:hint="eastAsia" w:ascii="Times New Roman" w:hAnsi="Times New Roman" w:eastAsia="宋体" w:cs="Times New Roman"/>
                <w:b w:val="0"/>
                <w:bCs w:val="0"/>
                <w:color w:val="auto"/>
                <w:lang w:val="en-US" w:eastAsia="zh-CN"/>
              </w:rPr>
              <w:t>、</w:t>
            </w:r>
            <w:r>
              <w:rPr>
                <w:rFonts w:hint="eastAsia" w:ascii="Times New Roman" w:hAnsi="Times New Roman" w:cs="Times New Roman"/>
                <w:b w:val="0"/>
                <w:bCs w:val="0"/>
                <w:color w:val="auto"/>
                <w:lang w:val="en-US" w:eastAsia="zh-CN"/>
              </w:rPr>
              <w:t>SVOCs、</w:t>
            </w:r>
            <w:r>
              <w:rPr>
                <w:rFonts w:hint="default" w:ascii="Times New Roman" w:hAnsi="Times New Roman" w:eastAsia="宋体" w:cs="Times New Roman"/>
                <w:b w:val="0"/>
                <w:bCs w:val="0"/>
                <w:color w:val="auto"/>
                <w:lang w:val="en-US" w:eastAsia="zh-CN"/>
              </w:rPr>
              <w:t>石油烃C</w:t>
            </w:r>
            <w:r>
              <w:rPr>
                <w:rFonts w:hint="default" w:ascii="Times New Roman" w:hAnsi="Times New Roman" w:eastAsia="宋体" w:cs="Times New Roman"/>
                <w:b w:val="0"/>
                <w:bCs w:val="0"/>
                <w:color w:val="auto"/>
                <w:vertAlign w:val="subscript"/>
                <w:lang w:val="en-US" w:eastAsia="zh-CN"/>
              </w:rPr>
              <w:t>10</w:t>
            </w:r>
            <w:r>
              <w:rPr>
                <w:rFonts w:hint="default" w:ascii="Times New Roman" w:hAnsi="Times New Roman" w:eastAsia="宋体" w:cs="Times New Roman"/>
                <w:b w:val="0"/>
                <w:bCs w:val="0"/>
                <w:color w:val="auto"/>
                <w:lang w:val="en-US" w:eastAsia="zh-CN"/>
              </w:rPr>
              <w:t>～C</w:t>
            </w:r>
            <w:r>
              <w:rPr>
                <w:rFonts w:hint="default" w:ascii="Times New Roman" w:hAnsi="Times New Roman" w:eastAsia="宋体" w:cs="Times New Roman"/>
                <w:b w:val="0"/>
                <w:bCs w:val="0"/>
                <w:color w:val="auto"/>
                <w:vertAlign w:val="subscript"/>
                <w:lang w:val="en-US" w:eastAsia="zh-CN"/>
              </w:rPr>
              <w:t>40</w:t>
            </w:r>
          </w:p>
        </w:tc>
        <w:tc>
          <w:tcPr>
            <w:tcW w:w="750" w:type="pct"/>
            <w:vAlign w:val="center"/>
          </w:tcPr>
          <w:p>
            <w:pPr>
              <w:jc w:val="center"/>
              <w:rPr>
                <w:rFonts w:ascii="Times New Roman" w:hAnsi="Times New Roman"/>
                <w:szCs w:val="21"/>
              </w:rPr>
            </w:pPr>
            <w:r>
              <w:rPr>
                <w:rFonts w:ascii="Times New Roman" w:hAnsi="Times New Roman"/>
                <w:szCs w:val="21"/>
              </w:rPr>
              <w:t>泄露</w:t>
            </w:r>
            <w:r>
              <w:rPr>
                <w:rFonts w:hint="eastAsia" w:ascii="Times New Roman" w:hAnsi="Times New Roman"/>
                <w:szCs w:val="21"/>
              </w:rPr>
              <w:t>、</w:t>
            </w:r>
            <w:r>
              <w:rPr>
                <w:rFonts w:ascii="Times New Roman" w:hAnsi="Times New Roman"/>
                <w:szCs w:val="21"/>
              </w:rPr>
              <w:t>淋滤</w:t>
            </w:r>
            <w:r>
              <w:rPr>
                <w:rFonts w:hint="eastAsia" w:ascii="Times New Roman" w:hAnsi="Times New Roman"/>
                <w:szCs w:val="21"/>
              </w:rPr>
              <w:t>、沉降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初期雨水池</w:t>
            </w:r>
          </w:p>
        </w:tc>
        <w:tc>
          <w:tcPr>
            <w:tcW w:w="1023" w:type="pc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收集初期雨水</w:t>
            </w:r>
          </w:p>
        </w:tc>
        <w:tc>
          <w:tcPr>
            <w:tcW w:w="1193" w:type="pct"/>
            <w:vAlign w:val="center"/>
          </w:tcPr>
          <w:p>
            <w:pPr>
              <w:jc w:val="center"/>
              <w:rPr>
                <w:rFonts w:hint="default" w:ascii="Times New Roman" w:hAnsi="Times New Roman"/>
                <w:szCs w:val="21"/>
                <w:lang w:val="en-US"/>
              </w:rPr>
            </w:pPr>
            <w:r>
              <w:rPr>
                <w:rFonts w:hint="default" w:ascii="Times New Roman" w:hAnsi="Times New Roman" w:cs="Times New Roman"/>
                <w:color w:val="auto"/>
                <w:szCs w:val="21"/>
                <w:lang w:val="en-US" w:eastAsia="zh-CN"/>
              </w:rPr>
              <w:t>石油烃</w:t>
            </w:r>
            <w:r>
              <w:rPr>
                <w:rFonts w:hint="eastAsia" w:ascii="Times New Roman" w:hAnsi="Times New Roman" w:cs="Times New Roman"/>
                <w:color w:val="auto"/>
                <w:szCs w:val="21"/>
                <w:lang w:val="en-US" w:eastAsia="zh-CN"/>
              </w:rPr>
              <w:t>、悬浮物</w:t>
            </w:r>
          </w:p>
        </w:tc>
        <w:tc>
          <w:tcPr>
            <w:tcW w:w="836" w:type="pct"/>
            <w:vAlign w:val="center"/>
          </w:tcPr>
          <w:p>
            <w:pPr>
              <w:jc w:val="center"/>
              <w:rPr>
                <w:rFonts w:hint="default" w:ascii="Times New Roman" w:hAnsi="Times New Roman"/>
                <w:szCs w:val="21"/>
                <w:vertAlign w:val="baseline"/>
                <w:lang w:val="en-US"/>
              </w:rPr>
            </w:pPr>
            <w:r>
              <w:rPr>
                <w:rFonts w:hint="eastAsia" w:ascii="Times New Roman" w:hAnsi="Times New Roman" w:eastAsia="宋体" w:cs="Times New Roman"/>
                <w:b w:val="0"/>
                <w:bCs w:val="0"/>
                <w:color w:val="auto"/>
                <w:lang w:val="en-US" w:eastAsia="zh-CN"/>
              </w:rPr>
              <w:t>pH、</w:t>
            </w:r>
            <w:r>
              <w:rPr>
                <w:rFonts w:hint="default" w:ascii="Times New Roman" w:hAnsi="Times New Roman" w:eastAsia="宋体" w:cs="Times New Roman"/>
                <w:b w:val="0"/>
                <w:bCs w:val="0"/>
                <w:color w:val="auto"/>
                <w:lang w:val="en-US" w:eastAsia="zh-CN"/>
              </w:rPr>
              <w:t>石油烃C</w:t>
            </w:r>
            <w:r>
              <w:rPr>
                <w:rFonts w:hint="default" w:ascii="Times New Roman" w:hAnsi="Times New Roman" w:eastAsia="宋体" w:cs="Times New Roman"/>
                <w:b w:val="0"/>
                <w:bCs w:val="0"/>
                <w:color w:val="auto"/>
                <w:vertAlign w:val="subscript"/>
                <w:lang w:val="en-US" w:eastAsia="zh-CN"/>
              </w:rPr>
              <w:t>10</w:t>
            </w:r>
            <w:r>
              <w:rPr>
                <w:rFonts w:hint="default" w:ascii="Times New Roman" w:hAnsi="Times New Roman" w:eastAsia="宋体" w:cs="Times New Roman"/>
                <w:b w:val="0"/>
                <w:bCs w:val="0"/>
                <w:color w:val="auto"/>
                <w:lang w:val="en-US" w:eastAsia="zh-CN"/>
              </w:rPr>
              <w:t>～C</w:t>
            </w:r>
            <w:r>
              <w:rPr>
                <w:rFonts w:hint="default" w:ascii="Times New Roman" w:hAnsi="Times New Roman" w:eastAsia="宋体" w:cs="Times New Roman"/>
                <w:b w:val="0"/>
                <w:bCs w:val="0"/>
                <w:color w:val="auto"/>
                <w:vertAlign w:val="subscript"/>
                <w:lang w:val="en-US" w:eastAsia="zh-CN"/>
              </w:rPr>
              <w:t>40</w:t>
            </w:r>
            <w:r>
              <w:rPr>
                <w:rFonts w:hint="eastAsia" w:ascii="Times New Roman" w:hAnsi="Times New Roman" w:cs="Times New Roman"/>
                <w:b w:val="0"/>
                <w:bCs w:val="0"/>
                <w:color w:val="auto"/>
                <w:vertAlign w:val="baseline"/>
                <w:lang w:val="en-US" w:eastAsia="zh-CN"/>
              </w:rPr>
              <w:t>、SS</w:t>
            </w:r>
          </w:p>
        </w:tc>
        <w:tc>
          <w:tcPr>
            <w:tcW w:w="750" w:type="pct"/>
            <w:vAlign w:val="center"/>
          </w:tcPr>
          <w:p>
            <w:pPr>
              <w:jc w:val="center"/>
              <w:rPr>
                <w:rFonts w:ascii="Times New Roman" w:hAnsi="Times New Roman"/>
                <w:szCs w:val="21"/>
              </w:rPr>
            </w:pPr>
            <w:r>
              <w:rPr>
                <w:rFonts w:ascii="Times New Roman" w:hAnsi="Times New Roman"/>
                <w:szCs w:val="21"/>
              </w:rPr>
              <w:t>泄露</w:t>
            </w:r>
            <w:r>
              <w:rPr>
                <w:rFonts w:hint="eastAsia" w:ascii="Times New Roman" w:hAnsi="Times New Roman"/>
                <w:szCs w:val="21"/>
              </w:rPr>
              <w:t>、</w:t>
            </w:r>
            <w:r>
              <w:rPr>
                <w:rFonts w:ascii="Times New Roman" w:hAnsi="Times New Roman"/>
                <w:szCs w:val="21"/>
              </w:rPr>
              <w:t>淋滤</w:t>
            </w:r>
            <w:r>
              <w:rPr>
                <w:rFonts w:hint="eastAsia" w:ascii="Times New Roman" w:hAnsi="Times New Roman"/>
                <w:szCs w:val="21"/>
              </w:rPr>
              <w:t>、沉降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应急池</w:t>
            </w:r>
          </w:p>
        </w:tc>
        <w:tc>
          <w:tcPr>
            <w:tcW w:w="1023" w:type="pc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收集应急废水</w:t>
            </w:r>
          </w:p>
        </w:tc>
        <w:tc>
          <w:tcPr>
            <w:tcW w:w="1193" w:type="pct"/>
            <w:vAlign w:val="center"/>
          </w:tcPr>
          <w:p>
            <w:pPr>
              <w:jc w:val="center"/>
              <w:rPr>
                <w:rFonts w:ascii="Times New Roman" w:hAnsi="Times New Roman"/>
                <w:szCs w:val="21"/>
              </w:rPr>
            </w:pPr>
            <w:r>
              <w:rPr>
                <w:rFonts w:hint="default" w:ascii="Times New Roman" w:hAnsi="Times New Roman" w:eastAsia="宋体" w:cs="Times New Roman"/>
                <w:color w:val="auto"/>
                <w:sz w:val="21"/>
                <w:szCs w:val="21"/>
              </w:rPr>
              <w:t>八甲基环四硅氧烷</w:t>
            </w:r>
            <w:r>
              <w:rPr>
                <w:rFonts w:hint="eastAsia"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rPr>
              <w:t>六甲基二硅氧烷</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 w:val="21"/>
                <w:szCs w:val="21"/>
                <w:lang w:val="en-US" w:eastAsia="zh-CN"/>
              </w:rPr>
              <w:t>1,3-二乙烯基-1,1,3,3-四甲基二硅氧烷、乙醇、</w:t>
            </w:r>
            <w:r>
              <w:rPr>
                <w:rFonts w:hint="default" w:ascii="Times New Roman" w:hAnsi="Times New Roman" w:cs="Times New Roman"/>
                <w:color w:val="auto"/>
                <w:sz w:val="21"/>
                <w:szCs w:val="21"/>
              </w:rPr>
              <w:t>双氧水</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Cs w:val="21"/>
                <w:lang w:val="en-US" w:eastAsia="zh-CN"/>
              </w:rPr>
              <w:t>石油烃</w:t>
            </w:r>
          </w:p>
        </w:tc>
        <w:tc>
          <w:tcPr>
            <w:tcW w:w="836" w:type="pct"/>
            <w:vAlign w:val="center"/>
          </w:tcPr>
          <w:p>
            <w:pPr>
              <w:jc w:val="center"/>
              <w:rPr>
                <w:rFonts w:ascii="Times New Roman" w:hAnsi="Times New Roman"/>
                <w:szCs w:val="21"/>
              </w:rPr>
            </w:pPr>
            <w:r>
              <w:rPr>
                <w:rFonts w:hint="eastAsia" w:ascii="Times New Roman" w:hAnsi="Times New Roman" w:eastAsia="宋体" w:cs="Times New Roman"/>
                <w:b w:val="0"/>
                <w:bCs w:val="0"/>
                <w:color w:val="auto"/>
                <w:lang w:val="en-US" w:eastAsia="zh-CN"/>
              </w:rPr>
              <w:t>pH、</w:t>
            </w:r>
            <w:r>
              <w:rPr>
                <w:rFonts w:hint="eastAsia" w:ascii="Times New Roman" w:hAnsi="Times New Roman" w:cs="Times New Roman"/>
                <w:b w:val="0"/>
                <w:bCs w:val="0"/>
                <w:color w:val="auto"/>
                <w:lang w:val="en-US" w:eastAsia="zh-CN"/>
              </w:rPr>
              <w:t>VOCs</w:t>
            </w:r>
            <w:r>
              <w:rPr>
                <w:rFonts w:hint="eastAsia" w:ascii="Times New Roman" w:hAnsi="Times New Roman" w:eastAsia="宋体" w:cs="Times New Roman"/>
                <w:b w:val="0"/>
                <w:bCs w:val="0"/>
                <w:color w:val="auto"/>
                <w:lang w:val="en-US" w:eastAsia="zh-CN"/>
              </w:rPr>
              <w:t>、</w:t>
            </w:r>
            <w:r>
              <w:rPr>
                <w:rFonts w:hint="eastAsia" w:ascii="Times New Roman" w:hAnsi="Times New Roman" w:cs="Times New Roman"/>
                <w:b w:val="0"/>
                <w:bCs w:val="0"/>
                <w:color w:val="auto"/>
                <w:lang w:val="en-US" w:eastAsia="zh-CN"/>
              </w:rPr>
              <w:t>SVOCs、</w:t>
            </w:r>
            <w:r>
              <w:rPr>
                <w:rFonts w:hint="default" w:ascii="Times New Roman" w:hAnsi="Times New Roman" w:eastAsia="宋体" w:cs="Times New Roman"/>
                <w:b w:val="0"/>
                <w:bCs w:val="0"/>
                <w:color w:val="auto"/>
                <w:lang w:val="en-US" w:eastAsia="zh-CN"/>
              </w:rPr>
              <w:t>石油烃C</w:t>
            </w:r>
            <w:r>
              <w:rPr>
                <w:rFonts w:hint="default" w:ascii="Times New Roman" w:hAnsi="Times New Roman" w:eastAsia="宋体" w:cs="Times New Roman"/>
                <w:b w:val="0"/>
                <w:bCs w:val="0"/>
                <w:color w:val="auto"/>
                <w:vertAlign w:val="subscript"/>
                <w:lang w:val="en-US" w:eastAsia="zh-CN"/>
              </w:rPr>
              <w:t>10</w:t>
            </w:r>
            <w:r>
              <w:rPr>
                <w:rFonts w:hint="default" w:ascii="Times New Roman" w:hAnsi="Times New Roman" w:eastAsia="宋体" w:cs="Times New Roman"/>
                <w:b w:val="0"/>
                <w:bCs w:val="0"/>
                <w:color w:val="auto"/>
                <w:lang w:val="en-US" w:eastAsia="zh-CN"/>
              </w:rPr>
              <w:t>～C</w:t>
            </w:r>
            <w:r>
              <w:rPr>
                <w:rFonts w:hint="default" w:ascii="Times New Roman" w:hAnsi="Times New Roman" w:eastAsia="宋体" w:cs="Times New Roman"/>
                <w:b w:val="0"/>
                <w:bCs w:val="0"/>
                <w:color w:val="auto"/>
                <w:vertAlign w:val="subscript"/>
                <w:lang w:val="en-US" w:eastAsia="zh-CN"/>
              </w:rPr>
              <w:t>40</w:t>
            </w:r>
          </w:p>
        </w:tc>
        <w:tc>
          <w:tcPr>
            <w:tcW w:w="750" w:type="pct"/>
            <w:vAlign w:val="center"/>
          </w:tcPr>
          <w:p>
            <w:pPr>
              <w:jc w:val="center"/>
              <w:rPr>
                <w:rFonts w:ascii="Times New Roman" w:hAnsi="Times New Roman"/>
                <w:szCs w:val="21"/>
              </w:rPr>
            </w:pPr>
            <w:r>
              <w:rPr>
                <w:rFonts w:ascii="Times New Roman" w:hAnsi="Times New Roman"/>
                <w:szCs w:val="21"/>
              </w:rPr>
              <w:t>泄露</w:t>
            </w:r>
            <w:r>
              <w:rPr>
                <w:rFonts w:hint="eastAsia" w:ascii="Times New Roman" w:hAnsi="Times New Roman"/>
                <w:szCs w:val="21"/>
              </w:rPr>
              <w:t>、</w:t>
            </w:r>
            <w:r>
              <w:rPr>
                <w:rFonts w:ascii="Times New Roman" w:hAnsi="Times New Roman"/>
                <w:szCs w:val="21"/>
              </w:rPr>
              <w:t>淋滤</w:t>
            </w:r>
            <w:r>
              <w:rPr>
                <w:rFonts w:hint="eastAsia" w:ascii="Times New Roman" w:hAnsi="Times New Roman"/>
                <w:szCs w:val="21"/>
              </w:rPr>
              <w:t>、沉降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vAlign w:val="center"/>
          </w:tcPr>
          <w:p>
            <w:pPr>
              <w:jc w:val="center"/>
              <w:rPr>
                <w:rFonts w:hint="default" w:ascii="Times New Roman" w:hAnsi="Times New Roman"/>
                <w:szCs w:val="21"/>
                <w:lang w:val="en-US" w:eastAsia="zh-CN"/>
              </w:rPr>
            </w:pPr>
            <w:bookmarkStart w:id="94" w:name="_Toc13847383"/>
            <w:bookmarkStart w:id="95" w:name="_Toc534203184"/>
            <w:bookmarkStart w:id="96" w:name="_Toc13852929"/>
            <w:bookmarkStart w:id="97" w:name="_Toc531519931"/>
            <w:r>
              <w:rPr>
                <w:rFonts w:hint="eastAsia" w:ascii="Times New Roman" w:hAnsi="Times New Roman"/>
                <w:szCs w:val="21"/>
                <w:lang w:val="en-US" w:eastAsia="zh-CN"/>
              </w:rPr>
              <w:t>甲类生产车间</w:t>
            </w:r>
          </w:p>
        </w:tc>
        <w:tc>
          <w:tcPr>
            <w:tcW w:w="1023" w:type="pct"/>
            <w:vAlign w:val="center"/>
          </w:tcPr>
          <w:p>
            <w:pPr>
              <w:jc w:val="center"/>
              <w:rPr>
                <w:rFonts w:hint="default" w:ascii="Times New Roman" w:hAnsi="Times New Roman" w:eastAsia="宋体"/>
                <w:szCs w:val="21"/>
                <w:lang w:val="en-US" w:eastAsia="zh-CN"/>
              </w:rPr>
            </w:pPr>
            <w:r>
              <w:rPr>
                <w:rFonts w:hint="default" w:ascii="Times New Roman" w:hAnsi="Times New Roman"/>
                <w:szCs w:val="21"/>
                <w:lang w:val="en-US" w:eastAsia="zh-CN"/>
              </w:rPr>
              <w:t>聚氨酯用特种硅油合成</w:t>
            </w:r>
            <w:r>
              <w:rPr>
                <w:rFonts w:hint="eastAsia" w:ascii="Times New Roman" w:hAnsi="Times New Roman"/>
                <w:szCs w:val="21"/>
                <w:lang w:val="en-US" w:eastAsia="zh-CN"/>
              </w:rPr>
              <w:t>生产车间</w:t>
            </w:r>
          </w:p>
        </w:tc>
        <w:tc>
          <w:tcPr>
            <w:tcW w:w="1193" w:type="pct"/>
            <w:vAlign w:val="center"/>
          </w:tcPr>
          <w:p>
            <w:pPr>
              <w:jc w:val="center"/>
              <w:rPr>
                <w:rFonts w:ascii="Times New Roman" w:hAnsi="Times New Roman"/>
                <w:szCs w:val="21"/>
              </w:rPr>
            </w:pPr>
            <w:r>
              <w:rPr>
                <w:rFonts w:hint="default" w:ascii="Times New Roman" w:hAnsi="Times New Roman" w:eastAsia="宋体" w:cs="Times New Roman"/>
                <w:color w:val="auto"/>
                <w:sz w:val="21"/>
                <w:szCs w:val="21"/>
              </w:rPr>
              <w:t>八甲基环四硅氧烷</w:t>
            </w:r>
            <w:r>
              <w:rPr>
                <w:rFonts w:hint="eastAsia"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rPr>
              <w:t>六甲基二硅氧烷</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 w:val="21"/>
                <w:szCs w:val="21"/>
                <w:lang w:val="en-US" w:eastAsia="zh-CN"/>
              </w:rPr>
              <w:t>1,3-二乙烯基-1,1,3,3-四甲基二硅氧烷、乙醇、</w:t>
            </w:r>
            <w:r>
              <w:rPr>
                <w:rFonts w:hint="default" w:ascii="Times New Roman" w:hAnsi="Times New Roman" w:cs="Times New Roman"/>
                <w:color w:val="auto"/>
                <w:sz w:val="21"/>
                <w:szCs w:val="21"/>
              </w:rPr>
              <w:t>双氧水</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Cs w:val="21"/>
                <w:lang w:val="en-US" w:eastAsia="zh-CN"/>
              </w:rPr>
              <w:t>石油烃</w:t>
            </w:r>
          </w:p>
        </w:tc>
        <w:tc>
          <w:tcPr>
            <w:tcW w:w="836" w:type="pct"/>
            <w:vAlign w:val="center"/>
          </w:tcPr>
          <w:p>
            <w:pPr>
              <w:jc w:val="center"/>
              <w:rPr>
                <w:rFonts w:hint="eastAsia" w:ascii="Times New Roman" w:hAnsi="Times New Roman"/>
                <w:szCs w:val="21"/>
              </w:rPr>
            </w:pPr>
            <w:r>
              <w:rPr>
                <w:rFonts w:hint="eastAsia" w:ascii="Times New Roman" w:hAnsi="Times New Roman" w:eastAsia="宋体" w:cs="Times New Roman"/>
                <w:b w:val="0"/>
                <w:bCs w:val="0"/>
                <w:color w:val="auto"/>
                <w:lang w:val="en-US" w:eastAsia="zh-CN"/>
              </w:rPr>
              <w:t>pH、</w:t>
            </w:r>
            <w:r>
              <w:rPr>
                <w:rFonts w:hint="eastAsia" w:ascii="Times New Roman" w:hAnsi="Times New Roman" w:cs="Times New Roman"/>
                <w:b w:val="0"/>
                <w:bCs w:val="0"/>
                <w:color w:val="auto"/>
                <w:lang w:val="en-US" w:eastAsia="zh-CN"/>
              </w:rPr>
              <w:t>VOCs</w:t>
            </w:r>
            <w:r>
              <w:rPr>
                <w:rFonts w:hint="eastAsia" w:ascii="Times New Roman" w:hAnsi="Times New Roman" w:eastAsia="宋体" w:cs="Times New Roman"/>
                <w:b w:val="0"/>
                <w:bCs w:val="0"/>
                <w:color w:val="auto"/>
                <w:lang w:val="en-US" w:eastAsia="zh-CN"/>
              </w:rPr>
              <w:t>、</w:t>
            </w:r>
            <w:r>
              <w:rPr>
                <w:rFonts w:hint="eastAsia" w:ascii="Times New Roman" w:hAnsi="Times New Roman" w:cs="Times New Roman"/>
                <w:b w:val="0"/>
                <w:bCs w:val="0"/>
                <w:color w:val="auto"/>
                <w:lang w:val="en-US" w:eastAsia="zh-CN"/>
              </w:rPr>
              <w:t>SVOCs、</w:t>
            </w:r>
            <w:r>
              <w:rPr>
                <w:rFonts w:hint="default" w:ascii="Times New Roman" w:hAnsi="Times New Roman" w:eastAsia="宋体" w:cs="Times New Roman"/>
                <w:b w:val="0"/>
                <w:bCs w:val="0"/>
                <w:color w:val="auto"/>
                <w:lang w:val="en-US" w:eastAsia="zh-CN"/>
              </w:rPr>
              <w:t>石油烃C</w:t>
            </w:r>
            <w:r>
              <w:rPr>
                <w:rFonts w:hint="default" w:ascii="Times New Roman" w:hAnsi="Times New Roman" w:eastAsia="宋体" w:cs="Times New Roman"/>
                <w:b w:val="0"/>
                <w:bCs w:val="0"/>
                <w:color w:val="auto"/>
                <w:vertAlign w:val="subscript"/>
                <w:lang w:val="en-US" w:eastAsia="zh-CN"/>
              </w:rPr>
              <w:t>10</w:t>
            </w:r>
            <w:r>
              <w:rPr>
                <w:rFonts w:hint="default" w:ascii="Times New Roman" w:hAnsi="Times New Roman" w:eastAsia="宋体" w:cs="Times New Roman"/>
                <w:b w:val="0"/>
                <w:bCs w:val="0"/>
                <w:color w:val="auto"/>
                <w:lang w:val="en-US" w:eastAsia="zh-CN"/>
              </w:rPr>
              <w:t>～C</w:t>
            </w:r>
            <w:r>
              <w:rPr>
                <w:rFonts w:hint="default" w:ascii="Times New Roman" w:hAnsi="Times New Roman" w:eastAsia="宋体" w:cs="Times New Roman"/>
                <w:b w:val="0"/>
                <w:bCs w:val="0"/>
                <w:color w:val="auto"/>
                <w:vertAlign w:val="subscript"/>
                <w:lang w:val="en-US" w:eastAsia="zh-CN"/>
              </w:rPr>
              <w:t>40</w:t>
            </w:r>
          </w:p>
        </w:tc>
        <w:tc>
          <w:tcPr>
            <w:tcW w:w="750" w:type="pct"/>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szCs w:val="21"/>
              </w:rPr>
              <w:t>泄露</w:t>
            </w:r>
            <w:r>
              <w:rPr>
                <w:rFonts w:hint="eastAsia" w:ascii="Times New Roman" w:hAnsi="Times New Roman"/>
                <w:szCs w:val="21"/>
              </w:rPr>
              <w:t>、</w:t>
            </w:r>
            <w:r>
              <w:rPr>
                <w:rFonts w:ascii="Times New Roman" w:hAnsi="Times New Roman"/>
                <w:szCs w:val="21"/>
              </w:rPr>
              <w:t>淋滤</w:t>
            </w:r>
            <w:r>
              <w:rPr>
                <w:rFonts w:hint="eastAsia" w:ascii="Times New Roman" w:hAnsi="Times New Roman"/>
                <w:szCs w:val="21"/>
              </w:rPr>
              <w:t>、沉降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vAlign w:val="center"/>
          </w:tcPr>
          <w:p>
            <w:pPr>
              <w:jc w:val="center"/>
              <w:rPr>
                <w:rFonts w:hint="default" w:ascii="Times New Roman" w:hAnsi="Times New Roman"/>
                <w:szCs w:val="21"/>
                <w:lang w:val="en-US" w:eastAsia="zh-CN"/>
              </w:rPr>
            </w:pPr>
            <w:bookmarkStart w:id="98" w:name="_Toc531519936"/>
            <w:bookmarkStart w:id="99" w:name="_Toc13847388"/>
            <w:bookmarkStart w:id="100" w:name="_Toc534203189"/>
            <w:r>
              <w:rPr>
                <w:rFonts w:hint="eastAsia" w:ascii="Times New Roman" w:hAnsi="Times New Roman"/>
                <w:szCs w:val="21"/>
                <w:lang w:val="en-US" w:eastAsia="zh-CN"/>
              </w:rPr>
              <w:t>丙类废水收集池</w:t>
            </w:r>
          </w:p>
        </w:tc>
        <w:tc>
          <w:tcPr>
            <w:tcW w:w="1023" w:type="pct"/>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丙类仓库地面冲洗废水收集池</w:t>
            </w:r>
          </w:p>
        </w:tc>
        <w:tc>
          <w:tcPr>
            <w:tcW w:w="1193"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Cs w:val="21"/>
              </w:rPr>
              <w:t>二丁基乙醇胺</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甲基聚醚</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石油烃</w:t>
            </w:r>
          </w:p>
        </w:tc>
        <w:tc>
          <w:tcPr>
            <w:tcW w:w="836" w:type="pct"/>
            <w:vAlign w:val="center"/>
          </w:tcPr>
          <w:p>
            <w:pPr>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pH、</w:t>
            </w:r>
            <w:r>
              <w:rPr>
                <w:rFonts w:hint="eastAsia" w:ascii="Times New Roman" w:hAnsi="Times New Roman" w:cs="Times New Roman"/>
                <w:b w:val="0"/>
                <w:bCs w:val="0"/>
                <w:color w:val="auto"/>
                <w:lang w:val="en-US" w:eastAsia="zh-CN"/>
              </w:rPr>
              <w:t>VOCs</w:t>
            </w:r>
            <w:r>
              <w:rPr>
                <w:rFonts w:hint="eastAsia" w:ascii="Times New Roman" w:hAnsi="Times New Roman" w:eastAsia="宋体" w:cs="Times New Roman"/>
                <w:b w:val="0"/>
                <w:bCs w:val="0"/>
                <w:color w:val="auto"/>
                <w:lang w:val="en-US" w:eastAsia="zh-CN"/>
              </w:rPr>
              <w:t>、</w:t>
            </w:r>
            <w:r>
              <w:rPr>
                <w:rFonts w:hint="eastAsia" w:ascii="Times New Roman" w:hAnsi="Times New Roman" w:cs="Times New Roman"/>
                <w:b w:val="0"/>
                <w:bCs w:val="0"/>
                <w:color w:val="auto"/>
                <w:lang w:val="en-US" w:eastAsia="zh-CN"/>
              </w:rPr>
              <w:t>SVOCs、</w:t>
            </w:r>
            <w:r>
              <w:rPr>
                <w:rFonts w:hint="default" w:ascii="Times New Roman" w:hAnsi="Times New Roman" w:eastAsia="宋体" w:cs="Times New Roman"/>
                <w:b w:val="0"/>
                <w:bCs w:val="0"/>
                <w:color w:val="auto"/>
                <w:lang w:val="en-US" w:eastAsia="zh-CN"/>
              </w:rPr>
              <w:t>石油烃C</w:t>
            </w:r>
            <w:r>
              <w:rPr>
                <w:rFonts w:hint="default" w:ascii="Times New Roman" w:hAnsi="Times New Roman" w:eastAsia="宋体" w:cs="Times New Roman"/>
                <w:b w:val="0"/>
                <w:bCs w:val="0"/>
                <w:color w:val="auto"/>
                <w:vertAlign w:val="subscript"/>
                <w:lang w:val="en-US" w:eastAsia="zh-CN"/>
              </w:rPr>
              <w:t>10</w:t>
            </w:r>
            <w:r>
              <w:rPr>
                <w:rFonts w:hint="default" w:ascii="Times New Roman" w:hAnsi="Times New Roman" w:eastAsia="宋体" w:cs="Times New Roman"/>
                <w:b w:val="0"/>
                <w:bCs w:val="0"/>
                <w:color w:val="auto"/>
                <w:lang w:val="en-US" w:eastAsia="zh-CN"/>
              </w:rPr>
              <w:t>～C</w:t>
            </w:r>
            <w:r>
              <w:rPr>
                <w:rFonts w:hint="default" w:ascii="Times New Roman" w:hAnsi="Times New Roman" w:eastAsia="宋体" w:cs="Times New Roman"/>
                <w:b w:val="0"/>
                <w:bCs w:val="0"/>
                <w:color w:val="auto"/>
                <w:vertAlign w:val="subscript"/>
                <w:lang w:val="en-US" w:eastAsia="zh-CN"/>
              </w:rPr>
              <w:t>40</w:t>
            </w:r>
          </w:p>
        </w:tc>
        <w:tc>
          <w:tcPr>
            <w:tcW w:w="750" w:type="pct"/>
            <w:vAlign w:val="center"/>
          </w:tcPr>
          <w:p>
            <w:pPr>
              <w:jc w:val="center"/>
              <w:rPr>
                <w:rFonts w:ascii="Times New Roman" w:hAnsi="Times New Roman"/>
                <w:szCs w:val="21"/>
              </w:rPr>
            </w:pPr>
            <w:r>
              <w:rPr>
                <w:rFonts w:ascii="Times New Roman" w:hAnsi="Times New Roman"/>
                <w:szCs w:val="21"/>
              </w:rPr>
              <w:t>泄露</w:t>
            </w:r>
            <w:r>
              <w:rPr>
                <w:rFonts w:hint="eastAsia" w:ascii="Times New Roman" w:hAnsi="Times New Roman"/>
                <w:szCs w:val="21"/>
              </w:rPr>
              <w:t>、</w:t>
            </w:r>
            <w:r>
              <w:rPr>
                <w:rFonts w:ascii="Times New Roman" w:hAnsi="Times New Roman"/>
                <w:szCs w:val="21"/>
              </w:rPr>
              <w:t>淋滤</w:t>
            </w:r>
            <w:r>
              <w:rPr>
                <w:rFonts w:hint="eastAsia" w:ascii="Times New Roman" w:hAnsi="Times New Roman"/>
                <w:szCs w:val="21"/>
              </w:rPr>
              <w:t>、沉降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罐区收集池</w:t>
            </w:r>
          </w:p>
        </w:tc>
        <w:tc>
          <w:tcPr>
            <w:tcW w:w="1023" w:type="pct"/>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罐区废水收集池</w:t>
            </w:r>
          </w:p>
        </w:tc>
        <w:tc>
          <w:tcPr>
            <w:tcW w:w="1193"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八甲基环四硅氧烷</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Cs w:val="21"/>
                <w:lang w:val="en-US" w:eastAsia="zh-CN"/>
              </w:rPr>
              <w:t>石油烃</w:t>
            </w:r>
            <w:r>
              <w:rPr>
                <w:rFonts w:hint="default" w:ascii="Times New Roman" w:hAnsi="Times New Roman" w:cs="Times New Roman"/>
                <w:color w:val="auto"/>
                <w:szCs w:val="21"/>
                <w:vertAlign w:val="baseline"/>
                <w:lang w:val="en-US" w:eastAsia="zh-CN"/>
              </w:rPr>
              <w:t>、</w:t>
            </w:r>
            <w:r>
              <w:rPr>
                <w:rFonts w:hint="default" w:ascii="Times New Roman" w:hAnsi="Times New Roman" w:eastAsia="宋体" w:cs="Times New Roman"/>
                <w:color w:val="auto"/>
                <w:sz w:val="21"/>
                <w:szCs w:val="21"/>
              </w:rPr>
              <w:t>烯丙基聚醚</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Cs w:val="21"/>
              </w:rPr>
              <w:t>二丁基乙醇胺</w:t>
            </w:r>
          </w:p>
        </w:tc>
        <w:tc>
          <w:tcPr>
            <w:tcW w:w="836" w:type="pct"/>
            <w:vAlign w:val="center"/>
          </w:tcPr>
          <w:p>
            <w:pPr>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pH、</w:t>
            </w:r>
            <w:r>
              <w:rPr>
                <w:rFonts w:hint="eastAsia" w:ascii="Times New Roman" w:hAnsi="Times New Roman" w:cs="Times New Roman"/>
                <w:b w:val="0"/>
                <w:bCs w:val="0"/>
                <w:color w:val="auto"/>
                <w:lang w:val="en-US" w:eastAsia="zh-CN"/>
              </w:rPr>
              <w:t>VOCs</w:t>
            </w:r>
            <w:r>
              <w:rPr>
                <w:rFonts w:hint="eastAsia" w:ascii="Times New Roman" w:hAnsi="Times New Roman" w:eastAsia="宋体" w:cs="Times New Roman"/>
                <w:b w:val="0"/>
                <w:bCs w:val="0"/>
                <w:color w:val="auto"/>
                <w:lang w:val="en-US" w:eastAsia="zh-CN"/>
              </w:rPr>
              <w:t>、</w:t>
            </w:r>
            <w:r>
              <w:rPr>
                <w:rFonts w:hint="eastAsia" w:ascii="Times New Roman" w:hAnsi="Times New Roman" w:cs="Times New Roman"/>
                <w:b w:val="0"/>
                <w:bCs w:val="0"/>
                <w:color w:val="auto"/>
                <w:lang w:val="en-US" w:eastAsia="zh-CN"/>
              </w:rPr>
              <w:t>SVOCs、</w:t>
            </w:r>
            <w:r>
              <w:rPr>
                <w:rFonts w:hint="default" w:ascii="Times New Roman" w:hAnsi="Times New Roman" w:eastAsia="宋体" w:cs="Times New Roman"/>
                <w:b w:val="0"/>
                <w:bCs w:val="0"/>
                <w:color w:val="auto"/>
                <w:lang w:val="en-US" w:eastAsia="zh-CN"/>
              </w:rPr>
              <w:t>石油烃C</w:t>
            </w:r>
            <w:r>
              <w:rPr>
                <w:rFonts w:hint="default" w:ascii="Times New Roman" w:hAnsi="Times New Roman" w:eastAsia="宋体" w:cs="Times New Roman"/>
                <w:b w:val="0"/>
                <w:bCs w:val="0"/>
                <w:color w:val="auto"/>
                <w:vertAlign w:val="subscript"/>
                <w:lang w:val="en-US" w:eastAsia="zh-CN"/>
              </w:rPr>
              <w:t>10</w:t>
            </w:r>
            <w:r>
              <w:rPr>
                <w:rFonts w:hint="default" w:ascii="Times New Roman" w:hAnsi="Times New Roman" w:eastAsia="宋体" w:cs="Times New Roman"/>
                <w:b w:val="0"/>
                <w:bCs w:val="0"/>
                <w:color w:val="auto"/>
                <w:lang w:val="en-US" w:eastAsia="zh-CN"/>
              </w:rPr>
              <w:t>～C</w:t>
            </w:r>
            <w:r>
              <w:rPr>
                <w:rFonts w:hint="default" w:ascii="Times New Roman" w:hAnsi="Times New Roman" w:eastAsia="宋体" w:cs="Times New Roman"/>
                <w:b w:val="0"/>
                <w:bCs w:val="0"/>
                <w:color w:val="auto"/>
                <w:vertAlign w:val="subscript"/>
                <w:lang w:val="en-US" w:eastAsia="zh-CN"/>
              </w:rPr>
              <w:t>40</w:t>
            </w:r>
          </w:p>
        </w:tc>
        <w:tc>
          <w:tcPr>
            <w:tcW w:w="750" w:type="pct"/>
            <w:vAlign w:val="center"/>
          </w:tcPr>
          <w:p>
            <w:pPr>
              <w:jc w:val="center"/>
              <w:rPr>
                <w:rFonts w:ascii="Times New Roman" w:hAnsi="Times New Roman"/>
                <w:szCs w:val="21"/>
              </w:rPr>
            </w:pPr>
            <w:r>
              <w:rPr>
                <w:rFonts w:ascii="Times New Roman" w:hAnsi="Times New Roman"/>
                <w:szCs w:val="21"/>
              </w:rPr>
              <w:t>泄露</w:t>
            </w:r>
            <w:r>
              <w:rPr>
                <w:rFonts w:hint="eastAsia" w:ascii="Times New Roman" w:hAnsi="Times New Roman"/>
                <w:szCs w:val="21"/>
              </w:rPr>
              <w:t>、</w:t>
            </w:r>
            <w:r>
              <w:rPr>
                <w:rFonts w:ascii="Times New Roman" w:hAnsi="Times New Roman"/>
                <w:szCs w:val="21"/>
              </w:rPr>
              <w:t>淋滤</w:t>
            </w:r>
            <w:r>
              <w:rPr>
                <w:rFonts w:hint="eastAsia" w:ascii="Times New Roman" w:hAnsi="Times New Roman"/>
                <w:szCs w:val="21"/>
              </w:rPr>
              <w:t>、沉降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甲类车间废水收集池</w:t>
            </w:r>
          </w:p>
        </w:tc>
        <w:tc>
          <w:tcPr>
            <w:tcW w:w="1023" w:type="pct"/>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车间地面冲洗废水收集池</w:t>
            </w:r>
          </w:p>
        </w:tc>
        <w:tc>
          <w:tcPr>
            <w:tcW w:w="1193"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八甲基环四硅氧烷</w:t>
            </w:r>
            <w:r>
              <w:rPr>
                <w:rFonts w:hint="eastAsia"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rPr>
              <w:t>六甲基二硅氧烷</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 w:val="21"/>
                <w:szCs w:val="21"/>
                <w:lang w:val="en-US" w:eastAsia="zh-CN"/>
              </w:rPr>
              <w:t>1,3-二乙烯基-1,1,3,3-四甲基二硅氧烷、乙醇、</w:t>
            </w:r>
            <w:r>
              <w:rPr>
                <w:rFonts w:hint="default" w:ascii="Times New Roman" w:hAnsi="Times New Roman" w:cs="Times New Roman"/>
                <w:color w:val="auto"/>
                <w:sz w:val="21"/>
                <w:szCs w:val="21"/>
              </w:rPr>
              <w:t>双氧水</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Cs w:val="21"/>
                <w:lang w:val="en-US" w:eastAsia="zh-CN"/>
              </w:rPr>
              <w:t>石油烃</w:t>
            </w:r>
          </w:p>
        </w:tc>
        <w:tc>
          <w:tcPr>
            <w:tcW w:w="836" w:type="pct"/>
            <w:vAlign w:val="center"/>
          </w:tcPr>
          <w:p>
            <w:pPr>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pH、</w:t>
            </w:r>
            <w:r>
              <w:rPr>
                <w:rFonts w:hint="eastAsia" w:ascii="Times New Roman" w:hAnsi="Times New Roman" w:cs="Times New Roman"/>
                <w:b w:val="0"/>
                <w:bCs w:val="0"/>
                <w:color w:val="auto"/>
                <w:lang w:val="en-US" w:eastAsia="zh-CN"/>
              </w:rPr>
              <w:t>VOCs</w:t>
            </w:r>
            <w:r>
              <w:rPr>
                <w:rFonts w:hint="eastAsia" w:ascii="Times New Roman" w:hAnsi="Times New Roman" w:eastAsia="宋体" w:cs="Times New Roman"/>
                <w:b w:val="0"/>
                <w:bCs w:val="0"/>
                <w:color w:val="auto"/>
                <w:lang w:val="en-US" w:eastAsia="zh-CN"/>
              </w:rPr>
              <w:t>、</w:t>
            </w:r>
            <w:r>
              <w:rPr>
                <w:rFonts w:hint="eastAsia" w:ascii="Times New Roman" w:hAnsi="Times New Roman" w:cs="Times New Roman"/>
                <w:b w:val="0"/>
                <w:bCs w:val="0"/>
                <w:color w:val="auto"/>
                <w:lang w:val="en-US" w:eastAsia="zh-CN"/>
              </w:rPr>
              <w:t>SVOCs、</w:t>
            </w:r>
            <w:r>
              <w:rPr>
                <w:rFonts w:hint="default" w:ascii="Times New Roman" w:hAnsi="Times New Roman" w:eastAsia="宋体" w:cs="Times New Roman"/>
                <w:b w:val="0"/>
                <w:bCs w:val="0"/>
                <w:color w:val="auto"/>
                <w:lang w:val="en-US" w:eastAsia="zh-CN"/>
              </w:rPr>
              <w:t>石油烃C</w:t>
            </w:r>
            <w:r>
              <w:rPr>
                <w:rFonts w:hint="default" w:ascii="Times New Roman" w:hAnsi="Times New Roman" w:eastAsia="宋体" w:cs="Times New Roman"/>
                <w:b w:val="0"/>
                <w:bCs w:val="0"/>
                <w:color w:val="auto"/>
                <w:vertAlign w:val="subscript"/>
                <w:lang w:val="en-US" w:eastAsia="zh-CN"/>
              </w:rPr>
              <w:t>10</w:t>
            </w:r>
            <w:r>
              <w:rPr>
                <w:rFonts w:hint="default" w:ascii="Times New Roman" w:hAnsi="Times New Roman" w:eastAsia="宋体" w:cs="Times New Roman"/>
                <w:b w:val="0"/>
                <w:bCs w:val="0"/>
                <w:color w:val="auto"/>
                <w:lang w:val="en-US" w:eastAsia="zh-CN"/>
              </w:rPr>
              <w:t>～C</w:t>
            </w:r>
            <w:r>
              <w:rPr>
                <w:rFonts w:hint="default" w:ascii="Times New Roman" w:hAnsi="Times New Roman" w:eastAsia="宋体" w:cs="Times New Roman"/>
                <w:b w:val="0"/>
                <w:bCs w:val="0"/>
                <w:color w:val="auto"/>
                <w:vertAlign w:val="subscript"/>
                <w:lang w:val="en-US" w:eastAsia="zh-CN"/>
              </w:rPr>
              <w:t>40</w:t>
            </w:r>
          </w:p>
        </w:tc>
        <w:tc>
          <w:tcPr>
            <w:tcW w:w="750" w:type="pct"/>
            <w:vAlign w:val="center"/>
          </w:tcPr>
          <w:p>
            <w:pPr>
              <w:jc w:val="center"/>
              <w:rPr>
                <w:rFonts w:ascii="Times New Roman" w:hAnsi="Times New Roman"/>
                <w:szCs w:val="21"/>
              </w:rPr>
            </w:pPr>
            <w:r>
              <w:rPr>
                <w:rFonts w:ascii="Times New Roman" w:hAnsi="Times New Roman"/>
                <w:szCs w:val="21"/>
              </w:rPr>
              <w:t>泄露</w:t>
            </w:r>
            <w:r>
              <w:rPr>
                <w:rFonts w:hint="eastAsia" w:ascii="Times New Roman" w:hAnsi="Times New Roman"/>
                <w:szCs w:val="21"/>
              </w:rPr>
              <w:t>、</w:t>
            </w:r>
            <w:r>
              <w:rPr>
                <w:rFonts w:ascii="Times New Roman" w:hAnsi="Times New Roman"/>
                <w:szCs w:val="21"/>
              </w:rPr>
              <w:t>淋滤</w:t>
            </w:r>
            <w:r>
              <w:rPr>
                <w:rFonts w:hint="eastAsia" w:ascii="Times New Roman" w:hAnsi="Times New Roman"/>
                <w:szCs w:val="21"/>
              </w:rPr>
              <w:t>、沉降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厂区污水收集排放池</w:t>
            </w:r>
          </w:p>
        </w:tc>
        <w:tc>
          <w:tcPr>
            <w:tcW w:w="1023" w:type="pct"/>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全厂地面废水收集排放池</w:t>
            </w:r>
          </w:p>
        </w:tc>
        <w:tc>
          <w:tcPr>
            <w:tcW w:w="1193" w:type="pct"/>
            <w:vAlign w:val="center"/>
          </w:tcPr>
          <w:p>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Cs w:val="21"/>
              </w:rPr>
              <w:t>二丁基乙醇胺</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甲基聚醚</w:t>
            </w:r>
            <w:r>
              <w:rPr>
                <w:rFonts w:hint="default" w:ascii="Times New Roman" w:hAnsi="Times New Roman" w:cs="Times New Roman"/>
                <w:color w:val="auto"/>
                <w:szCs w:val="21"/>
                <w:lang w:eastAsia="zh-CN"/>
              </w:rPr>
              <w:t>、</w:t>
            </w:r>
            <w:r>
              <w:rPr>
                <w:rFonts w:hint="default" w:ascii="Times New Roman" w:hAnsi="Times New Roman" w:eastAsia="宋体" w:cs="Times New Roman"/>
                <w:color w:val="auto"/>
                <w:sz w:val="21"/>
                <w:szCs w:val="21"/>
              </w:rPr>
              <w:t>烯丙基聚醚</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Cs w:val="21"/>
              </w:rPr>
              <w:t>二丁基乙醇胺</w:t>
            </w:r>
            <w:r>
              <w:rPr>
                <w:rFonts w:hint="eastAsia" w:ascii="Times New Roman" w:hAnsi="Times New Roman" w:cs="Times New Roman"/>
                <w:color w:val="auto"/>
                <w:szCs w:val="21"/>
                <w:lang w:eastAsia="zh-CN"/>
              </w:rPr>
              <w:t>、</w:t>
            </w:r>
            <w:r>
              <w:rPr>
                <w:rFonts w:hint="default" w:ascii="Times New Roman" w:hAnsi="Times New Roman" w:cs="Times New Roman"/>
                <w:color w:val="auto"/>
                <w:sz w:val="21"/>
                <w:szCs w:val="21"/>
                <w:lang w:val="en-US" w:eastAsia="zh-CN"/>
              </w:rPr>
              <w:t>1,3-二乙烯基-1,1,3,3-四甲基二硅氧烷、乙醇、</w:t>
            </w:r>
            <w:r>
              <w:rPr>
                <w:rFonts w:hint="default" w:ascii="Times New Roman" w:hAnsi="Times New Roman" w:cs="Times New Roman"/>
                <w:color w:val="auto"/>
                <w:sz w:val="21"/>
                <w:szCs w:val="21"/>
              </w:rPr>
              <w:t>双氧水</w:t>
            </w:r>
          </w:p>
        </w:tc>
        <w:tc>
          <w:tcPr>
            <w:tcW w:w="836" w:type="pct"/>
            <w:vAlign w:val="center"/>
          </w:tcPr>
          <w:p>
            <w:pPr>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pH、</w:t>
            </w:r>
            <w:r>
              <w:rPr>
                <w:rFonts w:hint="eastAsia" w:ascii="Times New Roman" w:hAnsi="Times New Roman" w:cs="Times New Roman"/>
                <w:b w:val="0"/>
                <w:bCs w:val="0"/>
                <w:color w:val="auto"/>
                <w:lang w:val="en-US" w:eastAsia="zh-CN"/>
              </w:rPr>
              <w:t>VOCs</w:t>
            </w:r>
            <w:r>
              <w:rPr>
                <w:rFonts w:hint="eastAsia" w:ascii="Times New Roman" w:hAnsi="Times New Roman" w:eastAsia="宋体" w:cs="Times New Roman"/>
                <w:b w:val="0"/>
                <w:bCs w:val="0"/>
                <w:color w:val="auto"/>
                <w:lang w:val="en-US" w:eastAsia="zh-CN"/>
              </w:rPr>
              <w:t>、</w:t>
            </w:r>
            <w:r>
              <w:rPr>
                <w:rFonts w:hint="eastAsia" w:ascii="Times New Roman" w:hAnsi="Times New Roman" w:cs="Times New Roman"/>
                <w:b w:val="0"/>
                <w:bCs w:val="0"/>
                <w:color w:val="auto"/>
                <w:lang w:val="en-US" w:eastAsia="zh-CN"/>
              </w:rPr>
              <w:t>SVOCs、</w:t>
            </w:r>
            <w:r>
              <w:rPr>
                <w:rFonts w:hint="default" w:ascii="Times New Roman" w:hAnsi="Times New Roman" w:eastAsia="宋体" w:cs="Times New Roman"/>
                <w:b w:val="0"/>
                <w:bCs w:val="0"/>
                <w:color w:val="auto"/>
                <w:lang w:val="en-US" w:eastAsia="zh-CN"/>
              </w:rPr>
              <w:t>石油烃C</w:t>
            </w:r>
            <w:r>
              <w:rPr>
                <w:rFonts w:hint="default" w:ascii="Times New Roman" w:hAnsi="Times New Roman" w:eastAsia="宋体" w:cs="Times New Roman"/>
                <w:b w:val="0"/>
                <w:bCs w:val="0"/>
                <w:color w:val="auto"/>
                <w:vertAlign w:val="subscript"/>
                <w:lang w:val="en-US" w:eastAsia="zh-CN"/>
              </w:rPr>
              <w:t>10</w:t>
            </w:r>
            <w:r>
              <w:rPr>
                <w:rFonts w:hint="default" w:ascii="Times New Roman" w:hAnsi="Times New Roman" w:eastAsia="宋体" w:cs="Times New Roman"/>
                <w:b w:val="0"/>
                <w:bCs w:val="0"/>
                <w:color w:val="auto"/>
                <w:lang w:val="en-US" w:eastAsia="zh-CN"/>
              </w:rPr>
              <w:t>～C</w:t>
            </w:r>
            <w:r>
              <w:rPr>
                <w:rFonts w:hint="default" w:ascii="Times New Roman" w:hAnsi="Times New Roman" w:eastAsia="宋体" w:cs="Times New Roman"/>
                <w:b w:val="0"/>
                <w:bCs w:val="0"/>
                <w:color w:val="auto"/>
                <w:vertAlign w:val="subscript"/>
                <w:lang w:val="en-US" w:eastAsia="zh-CN"/>
              </w:rPr>
              <w:t>40</w:t>
            </w:r>
          </w:p>
        </w:tc>
        <w:tc>
          <w:tcPr>
            <w:tcW w:w="750" w:type="pct"/>
            <w:vAlign w:val="center"/>
          </w:tcPr>
          <w:p>
            <w:pPr>
              <w:jc w:val="center"/>
              <w:rPr>
                <w:rFonts w:ascii="Times New Roman" w:hAnsi="Times New Roman"/>
                <w:szCs w:val="21"/>
              </w:rPr>
            </w:pPr>
            <w:r>
              <w:rPr>
                <w:rFonts w:ascii="Times New Roman" w:hAnsi="Times New Roman"/>
                <w:szCs w:val="21"/>
              </w:rPr>
              <w:t>泄露</w:t>
            </w:r>
            <w:r>
              <w:rPr>
                <w:rFonts w:hint="eastAsia" w:ascii="Times New Roman" w:hAnsi="Times New Roman"/>
                <w:szCs w:val="21"/>
              </w:rPr>
              <w:t>、</w:t>
            </w:r>
            <w:r>
              <w:rPr>
                <w:rFonts w:ascii="Times New Roman" w:hAnsi="Times New Roman"/>
                <w:szCs w:val="21"/>
              </w:rPr>
              <w:t>淋滤</w:t>
            </w:r>
            <w:r>
              <w:rPr>
                <w:rFonts w:hint="eastAsia" w:ascii="Times New Roman" w:hAnsi="Times New Roman"/>
                <w:szCs w:val="21"/>
              </w:rPr>
              <w:t>、沉降</w:t>
            </w:r>
          </w:p>
        </w:tc>
      </w:tr>
      <w:bookmarkEnd w:id="94"/>
      <w:bookmarkEnd w:id="95"/>
      <w:bookmarkEnd w:id="96"/>
      <w:bookmarkEnd w:id="97"/>
    </w:tbl>
    <w:p>
      <w:pPr>
        <w:keepNext/>
        <w:keepLines/>
        <w:widowControl/>
        <w:spacing w:before="156" w:beforeLines="50" w:after="156" w:afterLines="50" w:line="500" w:lineRule="exact"/>
        <w:contextualSpacing/>
        <w:outlineLvl w:val="1"/>
        <w:rPr>
          <w:rFonts w:ascii="Times New Roman" w:hAnsi="Times New Roman"/>
          <w:snapToGrid w:val="0"/>
          <w:kern w:val="0"/>
          <w:sz w:val="24"/>
          <w:szCs w:val="24"/>
        </w:rPr>
      </w:pPr>
      <w:bookmarkStart w:id="101" w:name="_Toc17462"/>
      <w:r>
        <w:rPr>
          <w:rFonts w:hint="eastAsia" w:ascii="Times New Roman" w:hAnsi="Times New Roman"/>
          <w:b/>
          <w:bCs/>
          <w:sz w:val="28"/>
          <w:szCs w:val="32"/>
        </w:rPr>
        <w:t>5.</w:t>
      </w:r>
      <w:r>
        <w:rPr>
          <w:rFonts w:hint="eastAsia" w:ascii="Times New Roman" w:hAnsi="Times New Roman"/>
          <w:b/>
          <w:bCs/>
          <w:sz w:val="28"/>
          <w:szCs w:val="32"/>
          <w:lang w:val="en-US" w:eastAsia="zh-CN"/>
        </w:rPr>
        <w:t>3</w:t>
      </w:r>
      <w:r>
        <w:rPr>
          <w:rFonts w:hint="eastAsia" w:ascii="Times New Roman" w:hAnsi="Times New Roman"/>
          <w:b/>
          <w:bCs/>
          <w:sz w:val="28"/>
          <w:szCs w:val="32"/>
        </w:rPr>
        <w:t>重点区域的识别</w:t>
      </w:r>
      <w:bookmarkEnd w:id="98"/>
      <w:bookmarkEnd w:id="99"/>
      <w:bookmarkEnd w:id="100"/>
      <w:bookmarkEnd w:id="101"/>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lang w:val="en-US" w:eastAsia="zh-CN"/>
        </w:rPr>
        <w:t>上述重点设施的识别，由于实验室在办公楼内，地下存在地下停车场，且停车场地面为环氧地坪，本年度不纳入重点区域，其余区域</w:t>
      </w:r>
      <w:r>
        <w:rPr>
          <w:rFonts w:hint="eastAsia" w:ascii="Times New Roman" w:hAnsi="Times New Roman"/>
          <w:snapToGrid w:val="0"/>
          <w:kern w:val="0"/>
          <w:sz w:val="24"/>
          <w:szCs w:val="24"/>
        </w:rPr>
        <w:t>重点设施的识别为土壤与地下水自行监测的重点区域，厂区重点区域分布如图5.4-1所示。</w:t>
      </w:r>
    </w:p>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sectPr>
          <w:pgSz w:w="11906" w:h="16838"/>
          <w:pgMar w:top="1440" w:right="1800" w:bottom="1440" w:left="1800" w:header="851" w:footer="992" w:gutter="0"/>
          <w:cols w:space="425" w:num="1"/>
          <w:docGrid w:type="lines" w:linePitch="312" w:charSpace="0"/>
        </w:sectPr>
      </w:pPr>
    </w:p>
    <w:p>
      <w:pPr>
        <w:widowControl/>
        <w:jc w:val="center"/>
        <w:rPr>
          <w:rFonts w:ascii="Times New Roman" w:hAnsi="Times New Roman"/>
          <w:snapToGrid w:val="0"/>
          <w:kern w:val="0"/>
          <w:sz w:val="24"/>
          <w:szCs w:val="24"/>
        </w:rPr>
      </w:pPr>
      <w:r>
        <w:rPr>
          <w:sz w:val="21"/>
        </w:rPr>
        <mc:AlternateContent>
          <mc:Choice Requires="wps">
            <w:drawing>
              <wp:anchor distT="0" distB="0" distL="114300" distR="114300" simplePos="0" relativeHeight="251666432" behindDoc="0" locked="0" layoutInCell="1" allowOverlap="1">
                <wp:simplePos x="0" y="0"/>
                <wp:positionH relativeFrom="column">
                  <wp:posOffset>8477250</wp:posOffset>
                </wp:positionH>
                <wp:positionV relativeFrom="paragraph">
                  <wp:posOffset>1308100</wp:posOffset>
                </wp:positionV>
                <wp:extent cx="488950" cy="1314450"/>
                <wp:effectExtent l="6350" t="6350" r="12700" b="12700"/>
                <wp:wrapNone/>
                <wp:docPr id="14" name="任意多边形 14"/>
                <wp:cNvGraphicFramePr/>
                <a:graphic xmlns:a="http://schemas.openxmlformats.org/drawingml/2006/main">
                  <a:graphicData uri="http://schemas.microsoft.com/office/word/2010/wordprocessingShape">
                    <wps:wsp>
                      <wps:cNvSpPr/>
                      <wps:spPr>
                        <a:xfrm>
                          <a:off x="8934450" y="2018665"/>
                          <a:ext cx="488950" cy="1314450"/>
                        </a:xfrm>
                        <a:custGeom>
                          <a:avLst/>
                          <a:gdLst>
                            <a:gd name="connisteX0" fmla="*/ 31750 w 488950"/>
                            <a:gd name="connsiteY0" fmla="*/ 1314450 h 1314450"/>
                            <a:gd name="connisteX1" fmla="*/ 488950 w 488950"/>
                            <a:gd name="connsiteY1" fmla="*/ 1314450 h 1314450"/>
                            <a:gd name="connisteX2" fmla="*/ 476250 w 488950"/>
                            <a:gd name="connsiteY2" fmla="*/ 184150 h 1314450"/>
                            <a:gd name="connisteX3" fmla="*/ 406400 w 488950"/>
                            <a:gd name="connsiteY3" fmla="*/ 0 h 1314450"/>
                            <a:gd name="connisteX4" fmla="*/ 0 w 488950"/>
                            <a:gd name="connsiteY4" fmla="*/ 19050 h 1314450"/>
                            <a:gd name="connisteX5" fmla="*/ 31750 w 488950"/>
                            <a:gd name="connsiteY5" fmla="*/ 1314450 h 13144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488950" h="1314450">
                              <a:moveTo>
                                <a:pt x="31750" y="1314450"/>
                              </a:moveTo>
                              <a:lnTo>
                                <a:pt x="488950" y="1314450"/>
                              </a:lnTo>
                              <a:lnTo>
                                <a:pt x="476250" y="184150"/>
                              </a:lnTo>
                              <a:lnTo>
                                <a:pt x="406400" y="0"/>
                              </a:lnTo>
                              <a:lnTo>
                                <a:pt x="0" y="19050"/>
                              </a:lnTo>
                              <a:lnTo>
                                <a:pt x="31750" y="1314450"/>
                              </a:lnTo>
                              <a:close/>
                            </a:path>
                          </a:pathLst>
                        </a:custGeom>
                        <a:solidFill>
                          <a:srgbClr val="FF0000">
                            <a:alpha val="44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667.5pt;margin-top:103pt;height:103.5pt;width:38.5pt;z-index:251666432;mso-width-relative:page;mso-height-relative:page;" fillcolor="#FF0000" filled="t" stroked="t" coordsize="488950,1314450" o:gfxdata="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V2ikdgAAAANAQAADwAAAAAAAAABACAAAAAiAAAAZHJzL2Rvd25yZXYueG1s&#10;UEsBAhQAFAAAAAgAh07iQC7Ld+BOAwAAewkAAA4AAAAAAAAAAQAgAAAAJwEAAGRycy9lMm9Eb2Mu&#10;eG1sUEsFBgAAAAAGAAYAWQEAAOcGAAAAAA==&#10;" path="m31750,1314450l488950,1314450,476250,184150,406400,0,0,19050,31750,1314450xe">
                <v:path o:connectlocs="31750,1314450;488950,1314450;476250,184150;406400,0;0,19050;31750,1314450" o:connectangles="0,0,0,0,0,0"/>
                <v:fill on="t" opacity="28835f"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7467600</wp:posOffset>
                </wp:positionH>
                <wp:positionV relativeFrom="paragraph">
                  <wp:posOffset>1479550</wp:posOffset>
                </wp:positionV>
                <wp:extent cx="1003300" cy="920750"/>
                <wp:effectExtent l="6350" t="6350" r="6350" b="12700"/>
                <wp:wrapNone/>
                <wp:docPr id="13" name="任意多边形 13"/>
                <wp:cNvGraphicFramePr/>
                <a:graphic xmlns:a="http://schemas.openxmlformats.org/drawingml/2006/main">
                  <a:graphicData uri="http://schemas.microsoft.com/office/word/2010/wordprocessingShape">
                    <wps:wsp>
                      <wps:cNvSpPr/>
                      <wps:spPr>
                        <a:xfrm>
                          <a:off x="7924800" y="2190115"/>
                          <a:ext cx="1003300" cy="920750"/>
                        </a:xfrm>
                        <a:custGeom>
                          <a:avLst/>
                          <a:gdLst>
                            <a:gd name="connisteX0" fmla="*/ 25400 w 1003300"/>
                            <a:gd name="connsiteY0" fmla="*/ 914400 h 920750"/>
                            <a:gd name="connisteX1" fmla="*/ 1003300 w 1003300"/>
                            <a:gd name="connsiteY1" fmla="*/ 920750 h 920750"/>
                            <a:gd name="connisteX2" fmla="*/ 984250 w 1003300"/>
                            <a:gd name="connsiteY2" fmla="*/ 0 h 920750"/>
                            <a:gd name="connisteX3" fmla="*/ 0 w 1003300"/>
                            <a:gd name="connsiteY3" fmla="*/ 0 h 920750"/>
                            <a:gd name="connisteX4" fmla="*/ 25400 w 1003300"/>
                            <a:gd name="connsiteY4" fmla="*/ 914400 h 9207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003300" h="920750">
                              <a:moveTo>
                                <a:pt x="25400" y="914400"/>
                              </a:moveTo>
                              <a:lnTo>
                                <a:pt x="1003300" y="920750"/>
                              </a:lnTo>
                              <a:lnTo>
                                <a:pt x="984250" y="0"/>
                              </a:lnTo>
                              <a:lnTo>
                                <a:pt x="0" y="0"/>
                              </a:lnTo>
                              <a:lnTo>
                                <a:pt x="25400" y="914400"/>
                              </a:lnTo>
                              <a:close/>
                            </a:path>
                          </a:pathLst>
                        </a:custGeom>
                        <a:solidFill>
                          <a:srgbClr val="FF0000">
                            <a:alpha val="44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588pt;margin-top:116.5pt;height:72.5pt;width:79pt;z-index:251665408;mso-width-relative:page;mso-height-relative:page;" fillcolor="#FF0000" filled="t" stroked="t" coordsize="1003300,920750" o:gfxdata="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9D3yaNsAAAANAQAADwAAAAAAAAABACAAAAAi&#10;AAAAZHJzL2Rvd25yZXYueG1sUEsBAhQAFAAAAAgAh07iQOv8fVQkAwAAnQgAAA4AAAAAAAAAAQAg&#10;AAAAKgEAAGRycy9lMm9Eb2MueG1sUEsFBgAAAAAGAAYAWQEAAMAGAAAAAA==&#10;" path="m25400,914400l1003300,920750,984250,0,0,0,25400,914400xe">
                <v:path o:connectlocs="25400,914400;1003300,920750;984250,0;0,0;25400,914400" o:connectangles="0,0,0,0,0"/>
                <v:fill on="t" opacity="28835f"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5226050</wp:posOffset>
                </wp:positionH>
                <wp:positionV relativeFrom="paragraph">
                  <wp:posOffset>1524000</wp:posOffset>
                </wp:positionV>
                <wp:extent cx="2203450" cy="876300"/>
                <wp:effectExtent l="6350" t="6350" r="12700" b="6350"/>
                <wp:wrapNone/>
                <wp:docPr id="12" name="任意多边形 12"/>
                <wp:cNvGraphicFramePr/>
                <a:graphic xmlns:a="http://schemas.openxmlformats.org/drawingml/2006/main">
                  <a:graphicData uri="http://schemas.microsoft.com/office/word/2010/wordprocessingShape">
                    <wps:wsp>
                      <wps:cNvSpPr/>
                      <wps:spPr>
                        <a:xfrm>
                          <a:off x="5683250" y="2234565"/>
                          <a:ext cx="2203450" cy="876300"/>
                        </a:xfrm>
                        <a:custGeom>
                          <a:avLst/>
                          <a:gdLst>
                            <a:gd name="connisteX0" fmla="*/ 0 w 2203450"/>
                            <a:gd name="connsiteY0" fmla="*/ 869950 h 876300"/>
                            <a:gd name="connisteX1" fmla="*/ 2203450 w 2203450"/>
                            <a:gd name="connsiteY1" fmla="*/ 876300 h 876300"/>
                            <a:gd name="connisteX2" fmla="*/ 2197100 w 2203450"/>
                            <a:gd name="connsiteY2" fmla="*/ 19050 h 876300"/>
                            <a:gd name="connisteX3" fmla="*/ 6350 w 2203450"/>
                            <a:gd name="connsiteY3" fmla="*/ 0 h 876300"/>
                            <a:gd name="connisteX4" fmla="*/ 0 w 2203450"/>
                            <a:gd name="connsiteY4" fmla="*/ 869950 h 8763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2203450" h="876300">
                              <a:moveTo>
                                <a:pt x="0" y="869950"/>
                              </a:moveTo>
                              <a:lnTo>
                                <a:pt x="2203450" y="876300"/>
                              </a:lnTo>
                              <a:lnTo>
                                <a:pt x="2197100" y="19050"/>
                              </a:lnTo>
                              <a:lnTo>
                                <a:pt x="6350" y="0"/>
                              </a:lnTo>
                              <a:lnTo>
                                <a:pt x="0" y="869950"/>
                              </a:lnTo>
                              <a:close/>
                            </a:path>
                          </a:pathLst>
                        </a:custGeom>
                        <a:solidFill>
                          <a:srgbClr val="FF0000">
                            <a:alpha val="44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411.5pt;margin-top:120pt;height:69pt;width:173.5pt;z-index:251664384;mso-width-relative:page;mso-height-relative:page;" fillcolor="#FF0000" filled="t" stroked="t" coordsize="2203450,876300" o:gfxdata="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AKV0Jd2QAAAAwBAAAPAAAA&#10;AAAAAAEAIAAAACIAAABkcnMvZG93bnJldi54bWxQSwECFAAUAAAACACHTuJANXaYBjEDAACdCAAA&#10;DgAAAAAAAAABACAAAAAoAQAAZHJzL2Uyb0RvYy54bWxQSwUGAAAAAAYABgBZAQAAywYAAAAA&#10;" path="m0,869950l2203450,876300,2197100,19050,6350,0,0,869950xe">
                <v:path o:connectlocs="0,869950;2203450,876300;2197100,19050;6350,0;0,869950" o:connectangles="0,0,0,0,0"/>
                <v:fill on="t" opacity="28835f"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6083300</wp:posOffset>
                </wp:positionH>
                <wp:positionV relativeFrom="paragraph">
                  <wp:posOffset>2006600</wp:posOffset>
                </wp:positionV>
                <wp:extent cx="609600" cy="247650"/>
                <wp:effectExtent l="0" t="0" r="0" b="0"/>
                <wp:wrapNone/>
                <wp:docPr id="9" name="文本框 9"/>
                <wp:cNvGraphicFramePr/>
                <a:graphic xmlns:a="http://schemas.openxmlformats.org/drawingml/2006/main">
                  <a:graphicData uri="http://schemas.microsoft.com/office/word/2010/wordprocessingShape">
                    <wps:wsp>
                      <wps:cNvSpPr txBox="1"/>
                      <wps:spPr>
                        <a:xfrm>
                          <a:off x="6578600" y="2780665"/>
                          <a:ext cx="60960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收集池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9pt;margin-top:158pt;height:19.5pt;width:48pt;z-index:251663360;mso-width-relative:page;mso-height-relative:page;" filled="f" stroked="f" coordsize="21600,21600" o:gfxdata="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v8tXZ2wAAAAwBAAAPAAAAAAAAAAEAIAAA&#10;ACIAAABkcnMvZG93bnJldi54bWxQSwECFAAUAAAACACHTuJAkE8RJkICAABxBAAADgAAAAAAAAAB&#10;ACAAAAAqAQAAZHJzL2Uyb0RvYy54bWxQSwUGAAAAAAYABgBZAQAA3gU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收集池</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8375650</wp:posOffset>
                </wp:positionH>
                <wp:positionV relativeFrom="paragraph">
                  <wp:posOffset>1235710</wp:posOffset>
                </wp:positionV>
                <wp:extent cx="956945" cy="298450"/>
                <wp:effectExtent l="0" t="0" r="0" b="0"/>
                <wp:wrapNone/>
                <wp:docPr id="4" name="文本框 4"/>
                <wp:cNvGraphicFramePr/>
                <a:graphic xmlns:a="http://schemas.openxmlformats.org/drawingml/2006/main">
                  <a:graphicData uri="http://schemas.microsoft.com/office/word/2010/wordprocessingShape">
                    <wps:wsp>
                      <wps:cNvSpPr txBox="1"/>
                      <wps:spPr>
                        <a:xfrm>
                          <a:off x="8978900" y="2060575"/>
                          <a:ext cx="956945"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8"/>
                                <w:szCs w:val="18"/>
                                <w:lang w:val="en-US" w:eastAsia="zh-CN"/>
                              </w:rPr>
                            </w:pPr>
                            <w:r>
                              <w:rPr>
                                <w:rFonts w:hint="eastAsia"/>
                                <w:sz w:val="18"/>
                                <w:szCs w:val="18"/>
                                <w:lang w:val="en-US" w:eastAsia="zh-CN"/>
                              </w:rPr>
                              <w:t>初期雨水池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9.5pt;margin-top:97.3pt;height:23.5pt;width:75.35pt;z-index:251659264;mso-width-relative:page;mso-height-relative:page;" filled="f" stroked="f" coordsize="21600,21600" o:gfxdata="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whhL/dAAAADQEAAA8AAAAA&#10;AAAAAQAgAAAAIgAAAGRycy9kb3ducmV2LnhtbFBLAQIUABQAAAAIAIdO4kAv25nJSAIAAHEEAAAO&#10;AAAAAAAAAAEAIAAAACwBAABkcnMvZTJvRG9jLnhtbFBLBQYAAAAABgAGAFkBAADmBQAAAAA=&#10;">
                <v:fill on="f" focussize="0,0"/>
                <v:stroke on="f" weight="0.5pt"/>
                <v:imagedata o:title=""/>
                <o:lock v:ext="edit" aspectratio="f"/>
                <v:textbox>
                  <w:txbxContent>
                    <w:p>
                      <w:pPr>
                        <w:rPr>
                          <w:rFonts w:hint="default" w:eastAsia="宋体"/>
                          <w:sz w:val="18"/>
                          <w:szCs w:val="18"/>
                          <w:lang w:val="en-US" w:eastAsia="zh-CN"/>
                        </w:rPr>
                      </w:pPr>
                      <w:r>
                        <w:rPr>
                          <w:rFonts w:hint="eastAsia"/>
                          <w:sz w:val="18"/>
                          <w:szCs w:val="18"/>
                          <w:lang w:val="en-US" w:eastAsia="zh-CN"/>
                        </w:rPr>
                        <w:t>初期雨水池</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8532495</wp:posOffset>
                </wp:positionH>
                <wp:positionV relativeFrom="paragraph">
                  <wp:posOffset>1343025</wp:posOffset>
                </wp:positionV>
                <wp:extent cx="368300" cy="101600"/>
                <wp:effectExtent l="6350" t="6350" r="6350" b="6350"/>
                <wp:wrapNone/>
                <wp:docPr id="7" name="矩形 7"/>
                <wp:cNvGraphicFramePr/>
                <a:graphic xmlns:a="http://schemas.openxmlformats.org/drawingml/2006/main">
                  <a:graphicData uri="http://schemas.microsoft.com/office/word/2010/wordprocessingShape">
                    <wps:wsp>
                      <wps:cNvSpPr/>
                      <wps:spPr>
                        <a:xfrm>
                          <a:off x="8989695" y="2053590"/>
                          <a:ext cx="368300" cy="101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1.85pt;margin-top:105.75pt;height:8pt;width:29pt;z-index:251662336;v-text-anchor:middle;mso-width-relative:page;mso-height-relative:page;" filled="f" stroked="t" coordsize="21600,21600" o:gfxdata="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Mw/H9gAAAANAQAADwAAAAAAAAABACAAAAAi&#10;AAAAZHJzL2Rvd25yZXYueG1sUEsBAhQAFAAAAAgAh07iQHh1ofB8AgAA4QQAAA4AAAAAAAAAAQAg&#10;AAAAJwEAAGRycy9lMm9Eb2MueG1sUEsFBgAAAAAGAAYAWQEAABUGAAAAAA==&#10;">
                <v:fill on="f" focussize="0,0"/>
                <v:stroke weight="1pt" color="#FF0000 [3204]" miterlimit="8" joinstyle="miter"/>
                <v:imagedata o:title=""/>
                <o:lock v:ext="edit" aspectratio="f"/>
                <v:textbox>
                  <w:txbxContent>
                    <w:p>
                      <w:pPr>
                        <w:jc w:val="center"/>
                      </w:pPr>
                    </w:p>
                  </w:txbxContent>
                </v:textbox>
              </v:rect>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3700780</wp:posOffset>
                </wp:positionH>
                <wp:positionV relativeFrom="paragraph">
                  <wp:posOffset>1477010</wp:posOffset>
                </wp:positionV>
                <wp:extent cx="1479550" cy="1574800"/>
                <wp:effectExtent l="6350" t="6350" r="12700" b="6350"/>
                <wp:wrapNone/>
                <wp:docPr id="6" name="任意多边形 6"/>
                <wp:cNvGraphicFramePr/>
                <a:graphic xmlns:a="http://schemas.openxmlformats.org/drawingml/2006/main">
                  <a:graphicData uri="http://schemas.microsoft.com/office/word/2010/wordprocessingShape">
                    <wps:wsp>
                      <wps:cNvSpPr/>
                      <wps:spPr>
                        <a:xfrm>
                          <a:off x="4157980" y="2187575"/>
                          <a:ext cx="1479550" cy="1574800"/>
                        </a:xfrm>
                        <a:custGeom>
                          <a:avLst/>
                          <a:gdLst>
                            <a:gd name="connisteX0" fmla="*/ 0 w 1479550"/>
                            <a:gd name="connsiteY0" fmla="*/ 1562100 h 1574800"/>
                            <a:gd name="connisteX1" fmla="*/ 1479550 w 1479550"/>
                            <a:gd name="connsiteY1" fmla="*/ 1574800 h 1574800"/>
                            <a:gd name="connisteX2" fmla="*/ 1479550 w 1479550"/>
                            <a:gd name="connsiteY2" fmla="*/ 6350 h 1574800"/>
                            <a:gd name="connisteX3" fmla="*/ 25400 w 1479550"/>
                            <a:gd name="connsiteY3" fmla="*/ 0 h 1574800"/>
                            <a:gd name="connisteX4" fmla="*/ 0 w 1479550"/>
                            <a:gd name="connsiteY4" fmla="*/ 1562100 h 15748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479550" h="1574800">
                              <a:moveTo>
                                <a:pt x="0" y="1562100"/>
                              </a:moveTo>
                              <a:lnTo>
                                <a:pt x="1479550" y="1574800"/>
                              </a:lnTo>
                              <a:lnTo>
                                <a:pt x="1479550" y="6350"/>
                              </a:lnTo>
                              <a:lnTo>
                                <a:pt x="25400" y="0"/>
                              </a:lnTo>
                              <a:lnTo>
                                <a:pt x="0" y="1562100"/>
                              </a:lnTo>
                              <a:close/>
                            </a:path>
                          </a:pathLst>
                        </a:custGeom>
                        <a:solidFill>
                          <a:srgbClr val="FF0000">
                            <a:alpha val="44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91.4pt;margin-top:116.3pt;height:124pt;width:116.5pt;z-index:251661312;mso-width-relative:page;mso-height-relative:page;" fillcolor="#FF0000" filled="t" stroked="t" coordsize="1479550,1574800" o:gfxdata="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OJwGbdoAAAALAQAADwAAAAAAAAABACAAAAAiAAAA&#10;ZHJzL2Rvd25yZXYueG1sUEsBAhQAFAAAAAgAh07iQC06NEAiAwAAqAgAAA4AAAAAAAAAAQAgAAAA&#10;KQEAAGRycy9lMm9Eb2MueG1sUEsFBgAAAAAGAAYAWQEAAL0GAAAAAA==&#10;" path="m0,1562100l1479550,1574800,1479550,6350,25400,0,0,1562100xe">
                <v:path o:connectlocs="0,1562100;1479550,1574800;1479550,6350;25400,0;0,1562100" o:connectangles="0,0,0,0,0"/>
                <v:fill on="t" opacity="28835f"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2419350</wp:posOffset>
                </wp:positionH>
                <wp:positionV relativeFrom="paragraph">
                  <wp:posOffset>1464310</wp:posOffset>
                </wp:positionV>
                <wp:extent cx="1257300" cy="1587500"/>
                <wp:effectExtent l="6350" t="6350" r="6350" b="6350"/>
                <wp:wrapNone/>
                <wp:docPr id="5" name="任意多边形 5"/>
                <wp:cNvGraphicFramePr/>
                <a:graphic xmlns:a="http://schemas.openxmlformats.org/drawingml/2006/main">
                  <a:graphicData uri="http://schemas.microsoft.com/office/word/2010/wordprocessingShape">
                    <wps:wsp>
                      <wps:cNvSpPr/>
                      <wps:spPr>
                        <a:xfrm>
                          <a:off x="2876550" y="2174875"/>
                          <a:ext cx="1257300" cy="1587500"/>
                        </a:xfrm>
                        <a:custGeom>
                          <a:avLst/>
                          <a:gdLst>
                            <a:gd name="connisteX0" fmla="*/ 0 w 1257300"/>
                            <a:gd name="connsiteY0" fmla="*/ 1587500 h 1587500"/>
                            <a:gd name="connisteX1" fmla="*/ 1257300 w 1257300"/>
                            <a:gd name="connsiteY1" fmla="*/ 1587500 h 1587500"/>
                            <a:gd name="connisteX2" fmla="*/ 1238250 w 1257300"/>
                            <a:gd name="connsiteY2" fmla="*/ 0 h 1587500"/>
                            <a:gd name="connisteX3" fmla="*/ 12700 w 1257300"/>
                            <a:gd name="connsiteY3" fmla="*/ 0 h 1587500"/>
                            <a:gd name="connisteX4" fmla="*/ 0 w 1257300"/>
                            <a:gd name="connsiteY4" fmla="*/ 1587500 h 15875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257300" h="1587500">
                              <a:moveTo>
                                <a:pt x="0" y="1587500"/>
                              </a:moveTo>
                              <a:lnTo>
                                <a:pt x="1257300" y="1587500"/>
                              </a:lnTo>
                              <a:lnTo>
                                <a:pt x="1238250" y="0"/>
                              </a:lnTo>
                              <a:lnTo>
                                <a:pt x="12700" y="0"/>
                              </a:lnTo>
                              <a:lnTo>
                                <a:pt x="0" y="1587500"/>
                              </a:lnTo>
                              <a:close/>
                            </a:path>
                          </a:pathLst>
                        </a:custGeom>
                        <a:solidFill>
                          <a:srgbClr val="FF0000">
                            <a:alpha val="44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90.5pt;margin-top:115.3pt;height:125pt;width:99pt;z-index:251660288;mso-width-relative:page;mso-height-relative:page;" fillcolor="#FF0000" filled="t" stroked="t" coordsize="1257300,1587500" o:gfxdata="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K5mr63YAAAACwEAAA8AAAAAAAAAAQAgAAAAIgAAAGRycy9kb3du&#10;cmV2LnhtbFBLAQIUABQAAAAIAIdO4kBurMy+HAMAAKIIAAAOAAAAAAAAAAEAIAAAACcBAABkcnMv&#10;ZTJvRG9jLnhtbFBLBQYAAAAABgAGAFkBAAC1BgAAAAA=&#10;" path="m0,1587500l1257300,1587500,1238250,0,12700,0,0,1587500xe">
                <v:path o:connectlocs="0,1587500;1257300,1587500;1238250,0;12700,0;0,1587500" o:connectangles="0,0,0,0,0"/>
                <v:fill on="t" opacity="28835f" focussize="0,0"/>
                <v:stroke weight="1pt" color="#FF0000 [3204]" miterlimit="8" joinstyle="miter"/>
                <v:imagedata o:title=""/>
                <o:lock v:ext="edit" aspectratio="f"/>
              </v:shape>
            </w:pict>
          </mc:Fallback>
        </mc:AlternateContent>
      </w:r>
      <w:r>
        <w:drawing>
          <wp:inline distT="0" distB="0" distL="114300" distR="114300">
            <wp:extent cx="9467850" cy="4427855"/>
            <wp:effectExtent l="0" t="0" r="6350"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9467850" cy="4427855"/>
                    </a:xfrm>
                    <a:prstGeom prst="rect">
                      <a:avLst/>
                    </a:prstGeom>
                    <a:noFill/>
                    <a:ln>
                      <a:noFill/>
                    </a:ln>
                  </pic:spPr>
                </pic:pic>
              </a:graphicData>
            </a:graphic>
          </wp:inline>
        </w:drawing>
      </w:r>
    </w:p>
    <w:p>
      <w:pPr>
        <w:rPr>
          <w:rFonts w:hint="eastAsia"/>
          <w:sz w:val="18"/>
          <w:szCs w:val="18"/>
          <w:lang w:val="en-US" w:eastAsia="zh-CN"/>
        </w:rPr>
      </w:pPr>
      <w:r>
        <w:rPr>
          <w:rFonts w:hint="eastAsia" w:ascii="Times New Roman" w:hAnsi="Times New Roman"/>
          <w:b/>
          <w:snapToGrid w:val="0"/>
          <w:kern w:val="0"/>
          <w:sz w:val="24"/>
          <w:szCs w:val="24"/>
          <w:lang w:val="en-US" w:eastAsia="zh-CN"/>
        </w:rPr>
        <w:t xml:space="preserve">  </w:t>
      </w:r>
      <w:r>
        <w:rPr>
          <w:rFonts w:hint="eastAsia"/>
          <w:sz w:val="18"/>
          <w:szCs w:val="18"/>
          <w:lang w:val="en-US" w:eastAsia="zh-CN"/>
        </w:rPr>
        <w:t>备注： 1、丙类收集池与丙类仓库设施较近，合并为一个重点区域；</w:t>
      </w:r>
    </w:p>
    <w:p>
      <w:pPr>
        <w:ind w:firstLine="900" w:firstLineChars="500"/>
        <w:rPr>
          <w:rFonts w:hint="eastAsia"/>
          <w:sz w:val="18"/>
          <w:szCs w:val="18"/>
          <w:lang w:val="en-US" w:eastAsia="zh-CN"/>
        </w:rPr>
      </w:pPr>
      <w:r>
        <w:rPr>
          <w:rFonts w:hint="eastAsia"/>
          <w:sz w:val="18"/>
          <w:szCs w:val="18"/>
          <w:lang w:val="en-US" w:eastAsia="zh-CN"/>
        </w:rPr>
        <w:t>2、甲类罐区、丙类罐区、罐区收集池设施较近，合并为一个重点区域；</w:t>
      </w:r>
    </w:p>
    <w:p>
      <w:pPr>
        <w:ind w:firstLine="900" w:firstLineChars="500"/>
        <w:rPr>
          <w:rFonts w:hint="eastAsia"/>
          <w:sz w:val="18"/>
          <w:szCs w:val="18"/>
          <w:lang w:val="en-US" w:eastAsia="zh-CN"/>
        </w:rPr>
      </w:pPr>
      <w:r>
        <w:rPr>
          <w:rFonts w:hint="eastAsia"/>
          <w:sz w:val="18"/>
          <w:szCs w:val="18"/>
          <w:lang w:val="en-US" w:eastAsia="zh-CN"/>
        </w:rPr>
        <w:t>3、甲类车间收集设施与甲类车间较近，合并为一个重点区域  ；</w:t>
      </w:r>
    </w:p>
    <w:p>
      <w:pPr>
        <w:ind w:firstLine="900" w:firstLineChars="500"/>
        <w:rPr>
          <w:rFonts w:hint="eastAsia"/>
          <w:sz w:val="18"/>
          <w:szCs w:val="18"/>
          <w:lang w:val="en-US" w:eastAsia="zh-CN"/>
        </w:rPr>
      </w:pPr>
      <w:r>
        <w:rPr>
          <w:rFonts w:hint="eastAsia"/>
          <w:sz w:val="18"/>
          <w:szCs w:val="18"/>
          <w:lang w:val="en-US" w:eastAsia="zh-CN"/>
        </w:rPr>
        <w:t>4、危废仓库、甲类仓库、废水总收集排放池较近，合并为一个重点区域</w:t>
      </w:r>
    </w:p>
    <w:p>
      <w:pPr>
        <w:ind w:firstLine="900" w:firstLineChars="500"/>
        <w:rPr>
          <w:rFonts w:hint="default"/>
          <w:lang w:val="en-US" w:eastAsia="zh-CN"/>
        </w:rPr>
      </w:pPr>
      <w:r>
        <w:rPr>
          <w:rFonts w:hint="eastAsia"/>
          <w:sz w:val="18"/>
          <w:szCs w:val="18"/>
          <w:lang w:val="en-US" w:eastAsia="zh-CN"/>
        </w:rPr>
        <w:t>5、丙类车间与焚烧炉设施，现未投入使用。</w:t>
      </w:r>
    </w:p>
    <w:p>
      <w:pPr>
        <w:widowControl/>
        <w:jc w:val="center"/>
        <w:rPr>
          <w:rFonts w:ascii="Times New Roman" w:hAnsi="Times New Roman"/>
          <w:sz w:val="24"/>
          <w:szCs w:val="24"/>
        </w:rPr>
      </w:pPr>
      <w:r>
        <w:rPr>
          <w:rFonts w:hint="eastAsia" w:ascii="Times New Roman" w:hAnsi="Times New Roman"/>
          <w:b/>
          <w:snapToGrid w:val="0"/>
          <w:kern w:val="0"/>
          <w:sz w:val="24"/>
          <w:szCs w:val="24"/>
        </w:rPr>
        <w:t>图5.4-1</w:t>
      </w:r>
      <w:r>
        <w:rPr>
          <w:rFonts w:ascii="Times New Roman" w:hAnsi="Times New Roman"/>
          <w:b/>
          <w:snapToGrid w:val="0"/>
          <w:kern w:val="0"/>
          <w:sz w:val="24"/>
          <w:szCs w:val="24"/>
        </w:rPr>
        <w:t xml:space="preserve"> </w:t>
      </w:r>
      <w:r>
        <w:rPr>
          <w:rFonts w:hint="eastAsia" w:ascii="Times New Roman" w:hAnsi="Times New Roman"/>
          <w:b/>
          <w:snapToGrid w:val="0"/>
          <w:kern w:val="0"/>
          <w:sz w:val="24"/>
          <w:szCs w:val="24"/>
          <w:lang w:eastAsia="zh-CN"/>
        </w:rPr>
        <w:t>江苏奥斯佳材料科技有限公司</w:t>
      </w:r>
      <w:r>
        <w:rPr>
          <w:rFonts w:hint="eastAsia" w:ascii="Times New Roman" w:hAnsi="Times New Roman"/>
          <w:b/>
          <w:snapToGrid w:val="0"/>
          <w:kern w:val="0"/>
          <w:sz w:val="24"/>
          <w:szCs w:val="24"/>
        </w:rPr>
        <w:t>自行监测重点区域图（</w:t>
      </w:r>
      <w:r>
        <w:rPr>
          <w:rFonts w:hint="eastAsia" w:ascii="Times New Roman" w:hAnsi="Times New Roman"/>
          <w:b/>
          <w:snapToGrid w:val="0"/>
          <w:kern w:val="0"/>
          <w:sz w:val="24"/>
          <w:szCs w:val="24"/>
          <w:lang w:val="en-US" w:eastAsia="zh-CN"/>
        </w:rPr>
        <w:t>红色阴影区域为重点区域</w:t>
      </w:r>
      <w:r>
        <w:rPr>
          <w:rFonts w:hint="eastAsia" w:ascii="Times New Roman" w:hAnsi="Times New Roman"/>
          <w:b/>
          <w:snapToGrid w:val="0"/>
          <w:kern w:val="0"/>
          <w:sz w:val="24"/>
          <w:szCs w:val="24"/>
        </w:rPr>
        <w:t>）</w:t>
      </w:r>
    </w:p>
    <w:p>
      <w:pPr>
        <w:widowControl/>
        <w:spacing w:line="500" w:lineRule="exact"/>
        <w:rPr>
          <w:rFonts w:ascii="Times New Roman" w:hAnsi="Times New Roman"/>
          <w:snapToGrid w:val="0"/>
          <w:kern w:val="0"/>
          <w:sz w:val="24"/>
          <w:szCs w:val="24"/>
        </w:rPr>
        <w:sectPr>
          <w:pgSz w:w="16838" w:h="11906" w:orient="landscape"/>
          <w:pgMar w:top="720" w:right="720" w:bottom="720" w:left="720" w:header="851" w:footer="992" w:gutter="0"/>
          <w:cols w:space="425" w:num="1"/>
          <w:docGrid w:type="lines" w:linePitch="312" w:charSpace="0"/>
        </w:sectPr>
      </w:pPr>
    </w:p>
    <w:p>
      <w:pPr>
        <w:keepNext/>
        <w:keepLines/>
        <w:spacing w:line="500" w:lineRule="exact"/>
        <w:outlineLvl w:val="0"/>
        <w:rPr>
          <w:rFonts w:ascii="Times New Roman" w:hAnsi="Times New Roman"/>
          <w:b/>
          <w:bCs/>
          <w:kern w:val="44"/>
          <w:sz w:val="36"/>
          <w:szCs w:val="44"/>
        </w:rPr>
      </w:pPr>
      <w:bookmarkStart w:id="102" w:name="_Toc531519937"/>
      <w:bookmarkStart w:id="103" w:name="_Toc13847389"/>
      <w:bookmarkStart w:id="104" w:name="_Toc534203190"/>
      <w:bookmarkStart w:id="105" w:name="_Toc20728"/>
      <w:r>
        <w:rPr>
          <w:rFonts w:hint="eastAsia" w:ascii="Times New Roman" w:hAnsi="Times New Roman"/>
          <w:b/>
          <w:bCs/>
          <w:kern w:val="44"/>
          <w:sz w:val="36"/>
          <w:szCs w:val="44"/>
        </w:rPr>
        <w:t>6</w:t>
      </w:r>
      <w:r>
        <w:rPr>
          <w:rFonts w:ascii="Times New Roman" w:hAnsi="Times New Roman"/>
          <w:b/>
          <w:bCs/>
          <w:kern w:val="44"/>
          <w:sz w:val="36"/>
          <w:szCs w:val="44"/>
        </w:rPr>
        <w:t xml:space="preserve"> </w:t>
      </w:r>
      <w:r>
        <w:rPr>
          <w:rFonts w:hint="eastAsia" w:ascii="Times New Roman" w:hAnsi="Times New Roman"/>
          <w:b/>
          <w:bCs/>
          <w:kern w:val="44"/>
          <w:sz w:val="36"/>
          <w:szCs w:val="44"/>
        </w:rPr>
        <w:t>监测点位</w:t>
      </w:r>
      <w:bookmarkEnd w:id="102"/>
      <w:bookmarkEnd w:id="103"/>
      <w:bookmarkEnd w:id="104"/>
      <w:bookmarkEnd w:id="105"/>
    </w:p>
    <w:p>
      <w:pPr>
        <w:keepNext/>
        <w:keepLines/>
        <w:widowControl/>
        <w:spacing w:before="156" w:beforeLines="50" w:after="156" w:afterLines="50" w:line="500" w:lineRule="exact"/>
        <w:outlineLvl w:val="1"/>
        <w:rPr>
          <w:rFonts w:ascii="Times New Roman" w:hAnsi="Times New Roman"/>
          <w:snapToGrid w:val="0"/>
          <w:kern w:val="0"/>
          <w:sz w:val="24"/>
          <w:szCs w:val="24"/>
        </w:rPr>
      </w:pPr>
      <w:bookmarkStart w:id="106" w:name="_Toc531519938"/>
      <w:bookmarkStart w:id="107" w:name="_Toc534203191"/>
      <w:bookmarkStart w:id="108" w:name="_Toc13847390"/>
      <w:bookmarkStart w:id="109" w:name="_Toc16433"/>
      <w:r>
        <w:rPr>
          <w:rFonts w:hint="eastAsia" w:ascii="Times New Roman" w:hAnsi="Times New Roman"/>
          <w:b/>
          <w:bCs/>
          <w:sz w:val="28"/>
          <w:szCs w:val="32"/>
        </w:rPr>
        <w:t>6.1点位布设原则</w:t>
      </w:r>
      <w:bookmarkEnd w:id="106"/>
      <w:bookmarkEnd w:id="107"/>
      <w:bookmarkEnd w:id="108"/>
      <w:bookmarkEnd w:id="109"/>
    </w:p>
    <w:p>
      <w:pPr>
        <w:keepNext/>
        <w:keepLines/>
        <w:spacing w:line="500" w:lineRule="exact"/>
        <w:outlineLvl w:val="2"/>
        <w:rPr>
          <w:rFonts w:ascii="Times New Roman" w:hAnsi="Times New Roman"/>
          <w:b/>
          <w:bCs/>
          <w:sz w:val="24"/>
          <w:szCs w:val="32"/>
        </w:rPr>
      </w:pPr>
      <w:bookmarkStart w:id="110" w:name="_Toc13847391"/>
      <w:bookmarkStart w:id="111" w:name="_Toc13852934"/>
      <w:bookmarkStart w:id="112" w:name="_Toc534203192"/>
      <w:bookmarkStart w:id="113" w:name="_Toc531519939"/>
      <w:bookmarkStart w:id="114" w:name="_Toc26811"/>
      <w:r>
        <w:rPr>
          <w:rFonts w:hint="eastAsia" w:ascii="Times New Roman" w:hAnsi="Times New Roman"/>
          <w:b/>
          <w:bCs/>
          <w:sz w:val="24"/>
          <w:szCs w:val="32"/>
        </w:rPr>
        <w:t>6.1</w:t>
      </w:r>
      <w:r>
        <w:rPr>
          <w:rFonts w:ascii="Times New Roman" w:hAnsi="Times New Roman"/>
          <w:b/>
          <w:bCs/>
          <w:sz w:val="24"/>
          <w:szCs w:val="32"/>
        </w:rPr>
        <w:t>.1</w:t>
      </w:r>
      <w:r>
        <w:rPr>
          <w:rFonts w:hint="eastAsia" w:ascii="Times New Roman" w:hAnsi="Times New Roman"/>
          <w:b/>
          <w:bCs/>
          <w:sz w:val="24"/>
          <w:szCs w:val="32"/>
        </w:rPr>
        <w:t>总体原则</w:t>
      </w:r>
      <w:bookmarkEnd w:id="110"/>
      <w:bookmarkEnd w:id="111"/>
      <w:bookmarkEnd w:id="112"/>
      <w:bookmarkEnd w:id="113"/>
      <w:bookmarkEnd w:id="114"/>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（1）自行监测点/监测井应布设在重点设施周边并尽量接近重点设施；</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（2）重点设施数量较多的企业可根据重点区域内部重点设施的分布情况，统筹规划重点区域内部自行监测点/监测井的布设，布设位置应尽量接近重点区域内污染隐患较大的重点设施；</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（3）监测点/监测井的布设应遵循不影响企业正常生产且不造成安全隐患与二次污染的原则。</w:t>
      </w:r>
    </w:p>
    <w:p>
      <w:pPr>
        <w:keepNext/>
        <w:keepLines/>
        <w:spacing w:line="500" w:lineRule="exact"/>
        <w:outlineLvl w:val="2"/>
        <w:rPr>
          <w:rFonts w:ascii="Times New Roman" w:hAnsi="Times New Roman"/>
          <w:b/>
          <w:bCs/>
          <w:sz w:val="24"/>
          <w:szCs w:val="32"/>
        </w:rPr>
      </w:pPr>
      <w:bookmarkStart w:id="115" w:name="_Toc13847392"/>
      <w:bookmarkStart w:id="116" w:name="_Toc13852935"/>
      <w:bookmarkStart w:id="117" w:name="_Toc534203193"/>
      <w:bookmarkStart w:id="118" w:name="_Toc531519940"/>
      <w:bookmarkStart w:id="119" w:name="_Toc10345"/>
      <w:r>
        <w:rPr>
          <w:rFonts w:hint="eastAsia" w:ascii="Times New Roman" w:hAnsi="Times New Roman"/>
          <w:b/>
          <w:bCs/>
          <w:sz w:val="24"/>
          <w:szCs w:val="32"/>
        </w:rPr>
        <w:t>6.1</w:t>
      </w:r>
      <w:r>
        <w:rPr>
          <w:rFonts w:ascii="Times New Roman" w:hAnsi="Times New Roman"/>
          <w:b/>
          <w:bCs/>
          <w:sz w:val="24"/>
          <w:szCs w:val="32"/>
        </w:rPr>
        <w:t>.</w:t>
      </w:r>
      <w:r>
        <w:rPr>
          <w:rFonts w:hint="eastAsia" w:ascii="Times New Roman" w:hAnsi="Times New Roman"/>
          <w:b/>
          <w:bCs/>
          <w:sz w:val="24"/>
          <w:szCs w:val="32"/>
        </w:rPr>
        <w:t>2对照点布设原则</w:t>
      </w:r>
      <w:bookmarkEnd w:id="115"/>
      <w:bookmarkEnd w:id="116"/>
      <w:bookmarkEnd w:id="117"/>
      <w:bookmarkEnd w:id="118"/>
      <w:bookmarkEnd w:id="119"/>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（1）应在企业外部区域或企业内远离各重点设施处布设至少1个土壤及地下水对照点；</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（2）对照点应保证不受企业生产过程影响且可以代表企业所在区域的土壤及地下水本底值；</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（3）地下水对照点应设置在企业地下水的上游区域。</w:t>
      </w:r>
    </w:p>
    <w:p>
      <w:pPr>
        <w:keepNext/>
        <w:keepLines/>
        <w:spacing w:line="500" w:lineRule="exact"/>
        <w:outlineLvl w:val="2"/>
        <w:rPr>
          <w:rFonts w:ascii="Times New Roman" w:hAnsi="Times New Roman"/>
          <w:b/>
          <w:bCs/>
          <w:sz w:val="24"/>
          <w:szCs w:val="32"/>
        </w:rPr>
      </w:pPr>
      <w:bookmarkStart w:id="120" w:name="_Toc13852936"/>
      <w:bookmarkStart w:id="121" w:name="_Toc534203194"/>
      <w:bookmarkStart w:id="122" w:name="_Toc13847393"/>
      <w:bookmarkStart w:id="123" w:name="_Toc531519941"/>
      <w:bookmarkStart w:id="124" w:name="_Toc10664"/>
      <w:r>
        <w:rPr>
          <w:rFonts w:hint="eastAsia" w:ascii="Times New Roman" w:hAnsi="Times New Roman"/>
          <w:b/>
          <w:bCs/>
          <w:sz w:val="24"/>
          <w:szCs w:val="32"/>
        </w:rPr>
        <w:t>6.1</w:t>
      </w:r>
      <w:r>
        <w:rPr>
          <w:rFonts w:ascii="Times New Roman" w:hAnsi="Times New Roman"/>
          <w:b/>
          <w:bCs/>
          <w:sz w:val="24"/>
          <w:szCs w:val="32"/>
        </w:rPr>
        <w:t>.</w:t>
      </w:r>
      <w:r>
        <w:rPr>
          <w:rFonts w:hint="eastAsia" w:ascii="Times New Roman" w:hAnsi="Times New Roman"/>
          <w:b/>
          <w:bCs/>
          <w:sz w:val="24"/>
          <w:szCs w:val="32"/>
        </w:rPr>
        <w:t>3土壤监测点布设原则</w:t>
      </w:r>
      <w:bookmarkEnd w:id="120"/>
      <w:bookmarkEnd w:id="121"/>
      <w:bookmarkEnd w:id="122"/>
      <w:bookmarkEnd w:id="123"/>
      <w:bookmarkEnd w:id="124"/>
    </w:p>
    <w:p>
      <w:pPr>
        <w:widowControl/>
        <w:spacing w:line="500" w:lineRule="exact"/>
        <w:ind w:firstLine="420"/>
        <w:rPr>
          <w:rFonts w:ascii="Times New Roman" w:hAnsi="Times New Roman"/>
          <w:b/>
          <w:snapToGrid w:val="0"/>
          <w:kern w:val="0"/>
          <w:sz w:val="24"/>
          <w:szCs w:val="24"/>
        </w:rPr>
      </w:pPr>
      <w:r>
        <w:rPr>
          <w:rFonts w:ascii="Times New Roman" w:hAnsi="Times New Roman"/>
          <w:b/>
          <w:snapToGrid w:val="0"/>
          <w:kern w:val="0"/>
          <w:sz w:val="24"/>
          <w:szCs w:val="24"/>
        </w:rPr>
        <w:t>a</w:t>
      </w:r>
      <w:r>
        <w:rPr>
          <w:rFonts w:hint="eastAsia" w:ascii="Times New Roman" w:hAnsi="Times New Roman"/>
          <w:b/>
          <w:snapToGrid w:val="0"/>
          <w:kern w:val="0"/>
          <w:sz w:val="24"/>
          <w:szCs w:val="24"/>
        </w:rPr>
        <w:t>．土壤一般监测</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（1）每个重点设施周边布设1-2个土壤监测点，每个重点区域布设2-3个土壤监测点，具体数量可根据设施大小或区域内设施数量等实际情况进行适当调整；</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（2）土壤一般监测应以监测区域内表层土壤为重点采样层，开展采样工作；</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（3）在土壤气及地下水采样建井过程中钻探出的土壤样品，应作为地块初次采样时的土壤背景值进行分析测试并予以记录。</w:t>
      </w:r>
    </w:p>
    <w:p>
      <w:pPr>
        <w:widowControl/>
        <w:spacing w:line="500" w:lineRule="exact"/>
        <w:ind w:firstLine="420"/>
        <w:rPr>
          <w:rFonts w:ascii="Times New Roman" w:hAnsi="Times New Roman"/>
          <w:b/>
          <w:snapToGrid w:val="0"/>
          <w:kern w:val="0"/>
          <w:sz w:val="24"/>
          <w:szCs w:val="24"/>
        </w:rPr>
      </w:pPr>
      <w:r>
        <w:rPr>
          <w:rFonts w:ascii="Times New Roman" w:hAnsi="Times New Roman"/>
          <w:b/>
          <w:snapToGrid w:val="0"/>
          <w:kern w:val="0"/>
          <w:sz w:val="24"/>
          <w:szCs w:val="24"/>
        </w:rPr>
        <w:t>b</w:t>
      </w:r>
      <w:r>
        <w:rPr>
          <w:rFonts w:hint="eastAsia" w:ascii="Times New Roman" w:hAnsi="Times New Roman"/>
          <w:b/>
          <w:snapToGrid w:val="0"/>
          <w:kern w:val="0"/>
          <w:sz w:val="24"/>
          <w:szCs w:val="24"/>
        </w:rPr>
        <w:t>．土壤气监测</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（1）每个关注污染物包括挥发性有机物的重点设施周边或重点区域应布设至少1个土壤气监测井，具体数量可根据设施大小或区域内设施数量等实际情况进行适当调整；</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（2）土壤气探头的埋设深度应结合地层特性及污染物埋深（仅限于已受到污染的区域）确定。</w:t>
      </w:r>
    </w:p>
    <w:p>
      <w:pPr>
        <w:keepNext/>
        <w:keepLines/>
        <w:spacing w:line="500" w:lineRule="exact"/>
        <w:outlineLvl w:val="2"/>
        <w:rPr>
          <w:rFonts w:ascii="Times New Roman" w:hAnsi="Times New Roman"/>
          <w:b/>
          <w:bCs/>
          <w:sz w:val="24"/>
          <w:szCs w:val="32"/>
        </w:rPr>
      </w:pPr>
      <w:bookmarkStart w:id="125" w:name="_Toc13847394"/>
      <w:bookmarkStart w:id="126" w:name="_Toc13852937"/>
      <w:bookmarkStart w:id="127" w:name="_Toc534203195"/>
      <w:bookmarkStart w:id="128" w:name="_Toc531519942"/>
      <w:bookmarkStart w:id="129" w:name="_Toc24708"/>
      <w:r>
        <w:rPr>
          <w:rFonts w:hint="eastAsia" w:ascii="Times New Roman" w:hAnsi="Times New Roman"/>
          <w:b/>
          <w:bCs/>
          <w:sz w:val="24"/>
          <w:szCs w:val="32"/>
        </w:rPr>
        <w:t>6.1</w:t>
      </w:r>
      <w:r>
        <w:rPr>
          <w:rFonts w:ascii="Times New Roman" w:hAnsi="Times New Roman"/>
          <w:b/>
          <w:bCs/>
          <w:sz w:val="24"/>
          <w:szCs w:val="32"/>
        </w:rPr>
        <w:t>.</w:t>
      </w:r>
      <w:r>
        <w:rPr>
          <w:rFonts w:hint="eastAsia" w:ascii="Times New Roman" w:hAnsi="Times New Roman"/>
          <w:b/>
          <w:bCs/>
          <w:sz w:val="24"/>
          <w:szCs w:val="32"/>
        </w:rPr>
        <w:t>4地下水监测井布设原则</w:t>
      </w:r>
      <w:bookmarkEnd w:id="125"/>
      <w:bookmarkEnd w:id="126"/>
      <w:bookmarkEnd w:id="127"/>
      <w:bookmarkEnd w:id="128"/>
      <w:bookmarkEnd w:id="129"/>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（1）每个存在地下水污染隐患的重点设施周边或重点区域应布设至少1个地下水监测井，具体数量可根据设施大小、区域内设施数量及污染物扩散途径等实际情况进行适当调整；</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（2）地下水监测井应布设在污染物迁移途径的下游方向。地下水的流向可能会随着季节、潮汐、河流和湖泊的水位波动等状况改变，此时应在污染物所有潜在迁移途径的下游方向布设监测井；</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（3）在同一企业内部，监测井的位置可根据各重点设施及重点区域的分布情况统筹规划，处于同一污染物迁移途径上的相邻设施或区域可合并监测井；</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（4）监测井在垂直方向的深度应根据污染物性质、含水层厚度以及地层情况确定。</w:t>
      </w:r>
    </w:p>
    <w:p>
      <w:pPr>
        <w:keepNext/>
        <w:keepLines/>
        <w:widowControl/>
        <w:spacing w:before="156" w:beforeLines="50" w:after="156" w:afterLines="50" w:line="500" w:lineRule="exact"/>
        <w:contextualSpacing/>
        <w:outlineLvl w:val="1"/>
        <w:rPr>
          <w:rFonts w:ascii="Times New Roman" w:hAnsi="Times New Roman"/>
          <w:snapToGrid w:val="0"/>
          <w:kern w:val="0"/>
          <w:sz w:val="24"/>
          <w:szCs w:val="24"/>
        </w:rPr>
      </w:pPr>
      <w:bookmarkStart w:id="130" w:name="_Toc13847395"/>
      <w:bookmarkStart w:id="131" w:name="_Toc534203196"/>
      <w:bookmarkStart w:id="132" w:name="_Toc531519943"/>
      <w:bookmarkStart w:id="133" w:name="_Toc23001"/>
      <w:r>
        <w:rPr>
          <w:rFonts w:hint="eastAsia" w:ascii="Times New Roman" w:hAnsi="Times New Roman"/>
          <w:b/>
          <w:bCs/>
          <w:sz w:val="28"/>
          <w:szCs w:val="32"/>
        </w:rPr>
        <w:t>6.2土壤监测</w:t>
      </w:r>
      <w:bookmarkEnd w:id="130"/>
      <w:bookmarkEnd w:id="131"/>
      <w:bookmarkEnd w:id="132"/>
      <w:bookmarkEnd w:id="133"/>
    </w:p>
    <w:p>
      <w:pPr>
        <w:keepNext/>
        <w:keepLines/>
        <w:spacing w:line="500" w:lineRule="exact"/>
        <w:outlineLvl w:val="2"/>
        <w:rPr>
          <w:rFonts w:ascii="Times New Roman" w:hAnsi="Times New Roman"/>
          <w:b/>
          <w:bCs/>
          <w:sz w:val="24"/>
          <w:szCs w:val="32"/>
        </w:rPr>
      </w:pPr>
      <w:bookmarkStart w:id="134" w:name="_Toc531519944"/>
      <w:bookmarkStart w:id="135" w:name="_Toc13852938"/>
      <w:bookmarkStart w:id="136" w:name="_Toc534203197"/>
      <w:bookmarkStart w:id="137" w:name="_Toc13847396"/>
      <w:bookmarkStart w:id="138" w:name="_Toc27407"/>
      <w:r>
        <w:rPr>
          <w:rFonts w:hint="eastAsia" w:ascii="Times New Roman" w:hAnsi="Times New Roman"/>
          <w:b/>
          <w:bCs/>
          <w:sz w:val="24"/>
          <w:szCs w:val="32"/>
        </w:rPr>
        <w:t>6.2</w:t>
      </w:r>
      <w:r>
        <w:rPr>
          <w:rFonts w:ascii="Times New Roman" w:hAnsi="Times New Roman"/>
          <w:b/>
          <w:bCs/>
          <w:sz w:val="24"/>
          <w:szCs w:val="32"/>
        </w:rPr>
        <w:t>.1</w:t>
      </w:r>
      <w:r>
        <w:rPr>
          <w:rFonts w:hint="eastAsia" w:ascii="Times New Roman" w:hAnsi="Times New Roman"/>
          <w:b/>
          <w:bCs/>
          <w:sz w:val="24"/>
          <w:szCs w:val="32"/>
        </w:rPr>
        <w:t>土壤监测</w:t>
      </w:r>
      <w:bookmarkEnd w:id="134"/>
      <w:bookmarkEnd w:id="135"/>
      <w:bookmarkEnd w:id="136"/>
      <w:bookmarkEnd w:id="137"/>
      <w:bookmarkEnd w:id="138"/>
    </w:p>
    <w:p>
      <w:pPr>
        <w:widowControl/>
        <w:spacing w:line="500" w:lineRule="exact"/>
        <w:rPr>
          <w:rFonts w:ascii="Times New Roman" w:hAnsi="Times New Roman"/>
          <w:snapToGrid w:val="0"/>
          <w:kern w:val="0"/>
          <w:sz w:val="24"/>
          <w:szCs w:val="24"/>
        </w:rPr>
      </w:pPr>
      <w:r>
        <w:rPr>
          <w:rFonts w:ascii="Times New Roman" w:hAnsi="Times New Roman"/>
          <w:snapToGrid w:val="0"/>
          <w:kern w:val="0"/>
          <w:sz w:val="24"/>
          <w:szCs w:val="24"/>
        </w:rPr>
        <w:tab/>
      </w:r>
      <w:r>
        <w:rPr>
          <w:rFonts w:hint="eastAsia" w:ascii="Times New Roman" w:hAnsi="Times New Roman"/>
          <w:snapToGrid w:val="0"/>
          <w:kern w:val="0"/>
          <w:sz w:val="24"/>
          <w:szCs w:val="24"/>
          <w:lang w:val="en-US" w:eastAsia="zh-CN"/>
        </w:rPr>
        <w:t>根据张家港市局土壤管理部门的指导意见，第一次开展土壤隐患排查，土壤与地下水的自行监测需兼顾污染状况初步调查的要求开展</w:t>
      </w:r>
      <w:r>
        <w:rPr>
          <w:rFonts w:hint="eastAsia" w:ascii="Times New Roman" w:hAnsi="Times New Roman"/>
          <w:snapToGrid w:val="0"/>
          <w:kern w:val="0"/>
          <w:sz w:val="24"/>
          <w:szCs w:val="24"/>
        </w:rPr>
        <w:t>结合</w:t>
      </w:r>
      <w:r>
        <w:rPr>
          <w:rFonts w:hint="eastAsia" w:ascii="Times New Roman" w:hAnsi="Times New Roman"/>
          <w:snapToGrid w:val="0"/>
          <w:kern w:val="0"/>
          <w:sz w:val="24"/>
          <w:szCs w:val="24"/>
          <w:lang w:eastAsia="zh-CN"/>
        </w:rPr>
        <w:t>。</w:t>
      </w:r>
      <w:r>
        <w:rPr>
          <w:rFonts w:hint="eastAsia" w:ascii="Times New Roman" w:hAnsi="Times New Roman"/>
          <w:snapToGrid w:val="0"/>
          <w:kern w:val="0"/>
          <w:sz w:val="24"/>
          <w:szCs w:val="24"/>
          <w:lang w:val="en-US" w:eastAsia="zh-CN"/>
        </w:rPr>
        <w:t>厂区内应急池及雨水池区域经现场踏勘，设备无法进场，池体为地埋式结构，取表层土的意义不大，企业后续调整下周边植被，纳入在下一年的监测中，故在</w:t>
      </w:r>
      <w:r>
        <w:rPr>
          <w:rFonts w:hint="eastAsia" w:ascii="Times New Roman" w:hAnsi="Times New Roman"/>
          <w:snapToGrid w:val="0"/>
          <w:kern w:val="0"/>
          <w:sz w:val="24"/>
          <w:szCs w:val="24"/>
        </w:rPr>
        <w:t>整个厂区内共计布设</w:t>
      </w:r>
      <w:r>
        <w:rPr>
          <w:rFonts w:hint="eastAsia" w:ascii="Times New Roman" w:hAnsi="Times New Roman"/>
          <w:snapToGrid w:val="0"/>
          <w:kern w:val="0"/>
          <w:sz w:val="24"/>
          <w:szCs w:val="24"/>
          <w:lang w:val="en-US" w:eastAsia="zh-CN"/>
        </w:rPr>
        <w:t>10</w:t>
      </w:r>
      <w:r>
        <w:rPr>
          <w:rFonts w:hint="eastAsia" w:ascii="Times New Roman" w:hAnsi="Times New Roman"/>
          <w:snapToGrid w:val="0"/>
          <w:kern w:val="0"/>
          <w:sz w:val="24"/>
          <w:szCs w:val="24"/>
        </w:rPr>
        <w:t>个土壤检测点位（</w:t>
      </w:r>
      <w:r>
        <w:rPr>
          <w:rFonts w:hint="eastAsia" w:ascii="Times New Roman" w:hAnsi="Times New Roman"/>
          <w:snapToGrid w:val="0"/>
          <w:kern w:val="0"/>
          <w:sz w:val="24"/>
          <w:szCs w:val="24"/>
          <w:lang w:val="en-US" w:eastAsia="zh-CN"/>
        </w:rPr>
        <w:t>T</w:t>
      </w:r>
      <w:r>
        <w:rPr>
          <w:rFonts w:ascii="Times New Roman" w:hAnsi="Times New Roman"/>
          <w:snapToGrid w:val="0"/>
          <w:kern w:val="0"/>
          <w:sz w:val="24"/>
          <w:szCs w:val="24"/>
        </w:rPr>
        <w:t>1~</w:t>
      </w:r>
      <w:r>
        <w:rPr>
          <w:rFonts w:hint="eastAsia" w:ascii="Times New Roman" w:hAnsi="Times New Roman"/>
          <w:snapToGrid w:val="0"/>
          <w:kern w:val="0"/>
          <w:sz w:val="24"/>
          <w:szCs w:val="24"/>
          <w:lang w:val="en-US" w:eastAsia="zh-CN"/>
        </w:rPr>
        <w:t>T10</w:t>
      </w:r>
      <w:r>
        <w:rPr>
          <w:rFonts w:hint="eastAsia" w:ascii="Times New Roman" w:hAnsi="Times New Roman"/>
          <w:snapToGrid w:val="0"/>
          <w:kern w:val="0"/>
          <w:sz w:val="24"/>
          <w:szCs w:val="24"/>
        </w:rPr>
        <w:t>），采样深度为</w:t>
      </w:r>
      <w:r>
        <w:rPr>
          <w:rFonts w:hint="eastAsia" w:ascii="Times New Roman" w:hAnsi="Times New Roman"/>
          <w:snapToGrid w:val="0"/>
          <w:kern w:val="0"/>
          <w:sz w:val="24"/>
          <w:szCs w:val="24"/>
          <w:lang w:val="en-US" w:eastAsia="zh-CN"/>
        </w:rPr>
        <w:t>6.0</w:t>
      </w:r>
      <w:r>
        <w:rPr>
          <w:rFonts w:ascii="Times New Roman" w:hAnsi="Times New Roman"/>
          <w:snapToGrid w:val="0"/>
          <w:kern w:val="0"/>
          <w:sz w:val="24"/>
          <w:szCs w:val="24"/>
        </w:rPr>
        <w:t>m</w:t>
      </w:r>
      <w:r>
        <w:rPr>
          <w:rFonts w:hint="eastAsia" w:ascii="Times New Roman" w:hAnsi="Times New Roman"/>
          <w:snapToGrid w:val="0"/>
          <w:kern w:val="0"/>
          <w:sz w:val="24"/>
          <w:szCs w:val="24"/>
        </w:rPr>
        <w:t>，土壤监测点位图如图6.2-1所示。同时在厂区外布设土壤对照点位1个，作为本区域的土壤对照点，土壤采样深度与厂区内土壤采样深度保持一致。</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各点位所属区域和临近重点设施如表6.2-1所示。</w:t>
      </w:r>
    </w:p>
    <w:p>
      <w:pPr>
        <w:jc w:val="center"/>
        <w:rPr>
          <w:rFonts w:ascii="Times New Roman" w:hAnsi="Times New Roman"/>
          <w:b/>
          <w:sz w:val="24"/>
          <w:szCs w:val="28"/>
        </w:rPr>
      </w:pPr>
      <w:r>
        <w:rPr>
          <w:rFonts w:hint="eastAsia" w:ascii="Times New Roman" w:hAnsi="Times New Roman"/>
          <w:b/>
          <w:sz w:val="24"/>
          <w:szCs w:val="28"/>
        </w:rPr>
        <w:t>表6.2-1</w:t>
      </w:r>
      <w:r>
        <w:rPr>
          <w:rFonts w:ascii="Times New Roman" w:hAnsi="Times New Roman"/>
          <w:b/>
          <w:sz w:val="24"/>
          <w:szCs w:val="28"/>
        </w:rPr>
        <w:t xml:space="preserve"> 土壤监测点位</w:t>
      </w:r>
      <w:r>
        <w:rPr>
          <w:rFonts w:hint="eastAsia" w:ascii="Times New Roman" w:hAnsi="Times New Roman"/>
          <w:b/>
          <w:sz w:val="24"/>
          <w:szCs w:val="28"/>
        </w:rPr>
        <w:t>描述</w:t>
      </w:r>
    </w:p>
    <w:tbl>
      <w:tblPr>
        <w:tblStyle w:val="18"/>
        <w:tblW w:w="839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2200"/>
        <w:gridCol w:w="2420"/>
        <w:gridCol w:w="21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90" w:type="dxa"/>
            <w:vAlign w:val="center"/>
          </w:tcPr>
          <w:p>
            <w:pPr>
              <w:jc w:val="center"/>
              <w:rPr>
                <w:rFonts w:ascii="Times New Roman" w:hAnsi="Times New Roman"/>
                <w:b/>
                <w:szCs w:val="21"/>
              </w:rPr>
            </w:pPr>
            <w:r>
              <w:rPr>
                <w:rFonts w:ascii="Times New Roman" w:hAnsi="Times New Roman"/>
                <w:b/>
                <w:szCs w:val="21"/>
              </w:rPr>
              <w:t>点位</w:t>
            </w:r>
          </w:p>
        </w:tc>
        <w:tc>
          <w:tcPr>
            <w:tcW w:w="2200" w:type="dxa"/>
            <w:vAlign w:val="center"/>
          </w:tcPr>
          <w:p>
            <w:pPr>
              <w:jc w:val="center"/>
              <w:rPr>
                <w:rFonts w:ascii="Times New Roman" w:hAnsi="Times New Roman"/>
                <w:b/>
                <w:szCs w:val="21"/>
              </w:rPr>
            </w:pPr>
            <w:r>
              <w:rPr>
                <w:rFonts w:ascii="Times New Roman" w:hAnsi="Times New Roman"/>
                <w:b/>
                <w:szCs w:val="21"/>
              </w:rPr>
              <w:t>重点区域</w:t>
            </w:r>
          </w:p>
        </w:tc>
        <w:tc>
          <w:tcPr>
            <w:tcW w:w="2420" w:type="dxa"/>
            <w:vAlign w:val="center"/>
          </w:tcPr>
          <w:p>
            <w:pPr>
              <w:jc w:val="center"/>
              <w:rPr>
                <w:rFonts w:ascii="Times New Roman" w:hAnsi="Times New Roman"/>
                <w:b/>
                <w:szCs w:val="21"/>
              </w:rPr>
            </w:pPr>
            <w:r>
              <w:rPr>
                <w:rFonts w:ascii="Times New Roman" w:hAnsi="Times New Roman"/>
                <w:b/>
                <w:szCs w:val="21"/>
              </w:rPr>
              <w:t>附近重点设施</w:t>
            </w:r>
          </w:p>
        </w:tc>
        <w:tc>
          <w:tcPr>
            <w:tcW w:w="2180" w:type="dxa"/>
            <w:vAlign w:val="center"/>
          </w:tcPr>
          <w:p>
            <w:pPr>
              <w:jc w:val="center"/>
              <w:rPr>
                <w:rFonts w:hint="eastAsia" w:ascii="Times New Roman" w:hAnsi="Times New Roman" w:eastAsia="宋体"/>
                <w:b/>
                <w:szCs w:val="21"/>
                <w:lang w:val="en-US" w:eastAsia="zh-CN"/>
              </w:rPr>
            </w:pPr>
            <w:r>
              <w:rPr>
                <w:rFonts w:hint="eastAsia" w:ascii="Times New Roman" w:hAnsi="Times New Roman"/>
                <w:b/>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w:t>
            </w:r>
            <w:r>
              <w:rPr>
                <w:rFonts w:ascii="Times New Roman" w:hAnsi="Times New Roman"/>
                <w:color w:val="000000"/>
                <w:szCs w:val="21"/>
              </w:rPr>
              <w:t>1</w:t>
            </w:r>
          </w:p>
        </w:tc>
        <w:tc>
          <w:tcPr>
            <w:tcW w:w="2200" w:type="dxa"/>
            <w:vMerge w:val="restar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丙类仓库</w:t>
            </w:r>
          </w:p>
        </w:tc>
        <w:tc>
          <w:tcPr>
            <w:tcW w:w="2420" w:type="dxa"/>
            <w:vMerge w:val="restar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丙类仓库、丙类废水收集池</w:t>
            </w:r>
          </w:p>
        </w:tc>
        <w:tc>
          <w:tcPr>
            <w:tcW w:w="2180" w:type="dxa"/>
            <w:vMerge w:val="restart"/>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w:t>
            </w:r>
            <w:r>
              <w:rPr>
                <w:rFonts w:ascii="Times New Roman" w:hAnsi="Times New Roman"/>
                <w:color w:val="000000"/>
                <w:szCs w:val="21"/>
              </w:rPr>
              <w:t>2</w:t>
            </w:r>
          </w:p>
        </w:tc>
        <w:tc>
          <w:tcPr>
            <w:tcW w:w="2200" w:type="dxa"/>
            <w:vMerge w:val="continue"/>
            <w:vAlign w:val="center"/>
          </w:tcPr>
          <w:p>
            <w:pPr>
              <w:jc w:val="center"/>
              <w:rPr>
                <w:rFonts w:ascii="Times New Roman" w:hAnsi="Times New Roman"/>
                <w:szCs w:val="21"/>
              </w:rPr>
            </w:pPr>
          </w:p>
        </w:tc>
        <w:tc>
          <w:tcPr>
            <w:tcW w:w="2420" w:type="dxa"/>
            <w:vMerge w:val="continue"/>
            <w:vAlign w:val="center"/>
          </w:tcPr>
          <w:p>
            <w:pPr>
              <w:jc w:val="center"/>
              <w:rPr>
                <w:rFonts w:ascii="Times New Roman" w:hAnsi="Times New Roman"/>
                <w:szCs w:val="21"/>
              </w:rPr>
            </w:pPr>
          </w:p>
        </w:tc>
        <w:tc>
          <w:tcPr>
            <w:tcW w:w="2180" w:type="dxa"/>
            <w:vMerge w:val="continue"/>
            <w:vAlign w:val="center"/>
          </w:tcPr>
          <w:p>
            <w:pPr>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590"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w:t>
            </w:r>
            <w:r>
              <w:rPr>
                <w:rFonts w:ascii="Times New Roman" w:hAnsi="Times New Roman"/>
                <w:color w:val="000000"/>
                <w:szCs w:val="21"/>
              </w:rPr>
              <w:t>3</w:t>
            </w:r>
          </w:p>
        </w:tc>
        <w:tc>
          <w:tcPr>
            <w:tcW w:w="2200" w:type="dxa"/>
            <w:vMerge w:val="restart"/>
            <w:vAlign w:val="center"/>
          </w:tcPr>
          <w:p>
            <w:pPr>
              <w:jc w:val="center"/>
              <w:rPr>
                <w:rFonts w:hint="eastAsia" w:ascii="Times New Roman" w:hAnsi="Times New Roman" w:eastAsia="宋体"/>
                <w:szCs w:val="21"/>
                <w:lang w:val="en-US" w:eastAsia="zh-CN"/>
              </w:rPr>
            </w:pPr>
            <w:r>
              <w:rPr>
                <w:rFonts w:hint="eastAsia" w:ascii="Times New Roman" w:hAnsi="Times New Roman"/>
                <w:szCs w:val="21"/>
                <w:lang w:val="en-US" w:eastAsia="zh-CN"/>
              </w:rPr>
              <w:t>罐区</w:t>
            </w:r>
          </w:p>
        </w:tc>
        <w:tc>
          <w:tcPr>
            <w:tcW w:w="2420" w:type="dxa"/>
            <w:vMerge w:val="restar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甲类储罐、丙类储罐、罐区收集池</w:t>
            </w:r>
          </w:p>
        </w:tc>
        <w:tc>
          <w:tcPr>
            <w:tcW w:w="2180" w:type="dxa"/>
            <w:vMerge w:val="restart"/>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w:t>
            </w:r>
            <w:r>
              <w:rPr>
                <w:rFonts w:ascii="Times New Roman" w:hAnsi="Times New Roman"/>
                <w:color w:val="000000"/>
                <w:szCs w:val="21"/>
              </w:rPr>
              <w:t>4</w:t>
            </w:r>
          </w:p>
        </w:tc>
        <w:tc>
          <w:tcPr>
            <w:tcW w:w="2200" w:type="dxa"/>
            <w:vMerge w:val="continue"/>
            <w:vAlign w:val="center"/>
          </w:tcPr>
          <w:p>
            <w:pPr>
              <w:jc w:val="center"/>
              <w:rPr>
                <w:rFonts w:ascii="Times New Roman" w:hAnsi="Times New Roman"/>
                <w:szCs w:val="21"/>
              </w:rPr>
            </w:pPr>
          </w:p>
        </w:tc>
        <w:tc>
          <w:tcPr>
            <w:tcW w:w="2420" w:type="dxa"/>
            <w:vMerge w:val="continue"/>
            <w:vAlign w:val="center"/>
          </w:tcPr>
          <w:p>
            <w:pPr>
              <w:jc w:val="center"/>
              <w:rPr>
                <w:rFonts w:ascii="Times New Roman" w:hAnsi="Times New Roman"/>
                <w:szCs w:val="21"/>
              </w:rPr>
            </w:pPr>
          </w:p>
        </w:tc>
        <w:tc>
          <w:tcPr>
            <w:tcW w:w="2180" w:type="dxa"/>
            <w:vMerge w:val="continue"/>
            <w:vAlign w:val="center"/>
          </w:tcPr>
          <w:p>
            <w:pPr>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590"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w:t>
            </w:r>
            <w:r>
              <w:rPr>
                <w:rFonts w:ascii="Times New Roman" w:hAnsi="Times New Roman"/>
                <w:color w:val="000000"/>
                <w:szCs w:val="21"/>
              </w:rPr>
              <w:t>5</w:t>
            </w:r>
          </w:p>
        </w:tc>
        <w:tc>
          <w:tcPr>
            <w:tcW w:w="2200" w:type="dxa"/>
            <w:vMerge w:val="restar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甲类车间</w:t>
            </w:r>
          </w:p>
        </w:tc>
        <w:tc>
          <w:tcPr>
            <w:tcW w:w="2420" w:type="dxa"/>
            <w:vMerge w:val="restar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车间生产设备、导热油罐、地面废水收集池</w:t>
            </w:r>
          </w:p>
        </w:tc>
        <w:tc>
          <w:tcPr>
            <w:tcW w:w="2180" w:type="dxa"/>
            <w:vMerge w:val="restart"/>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w:t>
            </w:r>
            <w:r>
              <w:rPr>
                <w:rFonts w:ascii="Times New Roman" w:hAnsi="Times New Roman"/>
                <w:color w:val="000000"/>
                <w:szCs w:val="21"/>
              </w:rPr>
              <w:t>6</w:t>
            </w:r>
          </w:p>
        </w:tc>
        <w:tc>
          <w:tcPr>
            <w:tcW w:w="2200" w:type="dxa"/>
            <w:vMerge w:val="continue"/>
            <w:vAlign w:val="center"/>
          </w:tcPr>
          <w:p>
            <w:pPr>
              <w:jc w:val="center"/>
              <w:rPr>
                <w:rFonts w:ascii="Times New Roman" w:hAnsi="Times New Roman"/>
                <w:szCs w:val="21"/>
              </w:rPr>
            </w:pPr>
          </w:p>
        </w:tc>
        <w:tc>
          <w:tcPr>
            <w:tcW w:w="2420" w:type="dxa"/>
            <w:vMerge w:val="continue"/>
            <w:vAlign w:val="center"/>
          </w:tcPr>
          <w:p>
            <w:pPr>
              <w:jc w:val="center"/>
              <w:rPr>
                <w:rFonts w:ascii="Times New Roman" w:hAnsi="Times New Roman"/>
                <w:szCs w:val="21"/>
              </w:rPr>
            </w:pPr>
          </w:p>
        </w:tc>
        <w:tc>
          <w:tcPr>
            <w:tcW w:w="2180" w:type="dxa"/>
            <w:vMerge w:val="continue"/>
            <w:vAlign w:val="center"/>
          </w:tcPr>
          <w:p>
            <w:pPr>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w:t>
            </w:r>
            <w:r>
              <w:rPr>
                <w:rFonts w:ascii="Times New Roman" w:hAnsi="Times New Roman"/>
                <w:color w:val="000000"/>
                <w:szCs w:val="21"/>
              </w:rPr>
              <w:t>8</w:t>
            </w:r>
          </w:p>
        </w:tc>
        <w:tc>
          <w:tcPr>
            <w:tcW w:w="2200" w:type="dxa"/>
            <w:vMerge w:val="restar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甲类仓库</w:t>
            </w:r>
          </w:p>
        </w:tc>
        <w:tc>
          <w:tcPr>
            <w:tcW w:w="2420" w:type="dxa"/>
            <w:vMerge w:val="restar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危废暂存仓库、甲类仓库、废水收集池</w:t>
            </w:r>
          </w:p>
        </w:tc>
        <w:tc>
          <w:tcPr>
            <w:tcW w:w="2180" w:type="dxa"/>
            <w:vMerge w:val="restart"/>
            <w:vAlign w:val="center"/>
          </w:tcPr>
          <w:p>
            <w:pPr>
              <w:jc w:val="center"/>
              <w:rPr>
                <w:rFonts w:hint="eastAsia" w:ascii="Times New Roman" w:hAnsi="Times New Roman" w:eastAsia="宋体"/>
                <w:szCs w:val="21"/>
                <w:lang w:val="en-US" w:eastAsia="zh-CN"/>
              </w:rPr>
            </w:pPr>
            <w:r>
              <w:rPr>
                <w:rFonts w:hint="eastAsia" w:ascii="Times New Roman" w:hAnsi="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hint="default" w:ascii="Times New Roman" w:hAnsi="Times New Roman" w:eastAsia="宋体"/>
                <w:szCs w:val="21"/>
                <w:lang w:val="en-US" w:eastAsia="zh-CN"/>
              </w:rPr>
            </w:pPr>
            <w:r>
              <w:rPr>
                <w:rFonts w:hint="eastAsia" w:ascii="Times New Roman" w:hAnsi="Times New Roman"/>
                <w:color w:val="000000"/>
                <w:szCs w:val="21"/>
                <w:lang w:val="en-US" w:eastAsia="zh-CN"/>
              </w:rPr>
              <w:t>T10</w:t>
            </w:r>
          </w:p>
        </w:tc>
        <w:tc>
          <w:tcPr>
            <w:tcW w:w="2200" w:type="dxa"/>
            <w:vMerge w:val="continue"/>
            <w:vAlign w:val="center"/>
          </w:tcPr>
          <w:p>
            <w:pPr>
              <w:jc w:val="center"/>
              <w:rPr>
                <w:rFonts w:ascii="Times New Roman" w:hAnsi="Times New Roman"/>
                <w:szCs w:val="21"/>
              </w:rPr>
            </w:pPr>
          </w:p>
        </w:tc>
        <w:tc>
          <w:tcPr>
            <w:tcW w:w="2420" w:type="dxa"/>
            <w:vMerge w:val="continue"/>
            <w:vAlign w:val="center"/>
          </w:tcPr>
          <w:p>
            <w:pPr>
              <w:jc w:val="center"/>
              <w:rPr>
                <w:rFonts w:ascii="Times New Roman" w:hAnsi="Times New Roman"/>
                <w:szCs w:val="21"/>
              </w:rPr>
            </w:pPr>
          </w:p>
        </w:tc>
        <w:tc>
          <w:tcPr>
            <w:tcW w:w="2180" w:type="dxa"/>
            <w:vMerge w:val="continue"/>
            <w:vAlign w:val="center"/>
          </w:tcPr>
          <w:p>
            <w:pPr>
              <w:jc w:val="center"/>
              <w:rPr>
                <w:rFonts w:hint="eastAsia"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hint="eastAsia" w:ascii="Times New Roman" w:hAnsi="Times New Roman" w:eastAsia="宋体"/>
                <w:szCs w:val="21"/>
                <w:lang w:eastAsia="zh-CN"/>
              </w:rPr>
            </w:pPr>
            <w:r>
              <w:rPr>
                <w:rFonts w:hint="eastAsia" w:ascii="Times New Roman" w:hAnsi="Times New Roman"/>
                <w:color w:val="000000"/>
                <w:szCs w:val="21"/>
                <w:lang w:val="en-US" w:eastAsia="zh-CN"/>
              </w:rPr>
              <w:t>T</w:t>
            </w:r>
            <w:r>
              <w:rPr>
                <w:rFonts w:ascii="Times New Roman" w:hAnsi="Times New Roman"/>
                <w:color w:val="000000"/>
                <w:szCs w:val="21"/>
              </w:rPr>
              <w:t>7</w:t>
            </w:r>
          </w:p>
        </w:tc>
        <w:tc>
          <w:tcPr>
            <w:tcW w:w="220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w:t>
            </w:r>
          </w:p>
        </w:tc>
        <w:tc>
          <w:tcPr>
            <w:tcW w:w="242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w:t>
            </w:r>
          </w:p>
        </w:tc>
        <w:tc>
          <w:tcPr>
            <w:tcW w:w="218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首年监测丙类车间背景值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T9</w:t>
            </w:r>
          </w:p>
        </w:tc>
        <w:tc>
          <w:tcPr>
            <w:tcW w:w="2200"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w:t>
            </w:r>
          </w:p>
        </w:tc>
        <w:tc>
          <w:tcPr>
            <w:tcW w:w="2420"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w:t>
            </w:r>
          </w:p>
        </w:tc>
        <w:tc>
          <w:tcPr>
            <w:tcW w:w="2180" w:type="dxa"/>
            <w:vAlign w:val="center"/>
          </w:tcPr>
          <w:p>
            <w:pPr>
              <w:jc w:val="center"/>
              <w:rPr>
                <w:rFonts w:hint="eastAsia" w:ascii="Times New Roman" w:hAnsi="Times New Roman"/>
                <w:szCs w:val="21"/>
                <w:lang w:val="en-US" w:eastAsia="zh-CN"/>
              </w:rPr>
            </w:pPr>
            <w:r>
              <w:rPr>
                <w:rFonts w:hint="eastAsia" w:ascii="Times New Roman" w:hAnsi="Times New Roman"/>
                <w:szCs w:val="21"/>
                <w:lang w:val="en-US" w:eastAsia="zh-CN"/>
              </w:rPr>
              <w:t>首年监测动力中心区域背景值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0" w:type="dxa"/>
            <w:vAlign w:val="center"/>
          </w:tcPr>
          <w:p>
            <w:pPr>
              <w:jc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T0</w:t>
            </w:r>
          </w:p>
        </w:tc>
        <w:tc>
          <w:tcPr>
            <w:tcW w:w="2200" w:type="dxa"/>
            <w:vAlign w:val="center"/>
          </w:tcPr>
          <w:p>
            <w:pPr>
              <w:jc w:val="center"/>
              <w:rPr>
                <w:rFonts w:hint="eastAsia" w:ascii="Times New Roman" w:hAnsi="Times New Roman"/>
                <w:szCs w:val="21"/>
                <w:lang w:val="en-US" w:eastAsia="zh-CN"/>
              </w:rPr>
            </w:pPr>
            <w:r>
              <w:rPr>
                <w:rFonts w:hint="eastAsia" w:ascii="Times New Roman" w:hAnsi="Times New Roman"/>
                <w:szCs w:val="21"/>
                <w:lang w:val="en-US" w:eastAsia="zh-CN"/>
              </w:rPr>
              <w:t>/</w:t>
            </w:r>
          </w:p>
        </w:tc>
        <w:tc>
          <w:tcPr>
            <w:tcW w:w="2420" w:type="dxa"/>
            <w:vAlign w:val="center"/>
          </w:tcPr>
          <w:p>
            <w:pPr>
              <w:jc w:val="center"/>
              <w:rPr>
                <w:rFonts w:hint="eastAsia" w:ascii="Times New Roman" w:hAnsi="Times New Roman"/>
                <w:szCs w:val="21"/>
                <w:lang w:val="en-US" w:eastAsia="zh-CN"/>
              </w:rPr>
            </w:pPr>
            <w:r>
              <w:rPr>
                <w:rFonts w:hint="eastAsia" w:ascii="Times New Roman" w:hAnsi="Times New Roman"/>
                <w:szCs w:val="21"/>
                <w:lang w:val="en-US" w:eastAsia="zh-CN"/>
              </w:rPr>
              <w:t>/</w:t>
            </w:r>
          </w:p>
        </w:tc>
        <w:tc>
          <w:tcPr>
            <w:tcW w:w="2180"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对照点</w:t>
            </w:r>
          </w:p>
        </w:tc>
      </w:tr>
    </w:tbl>
    <w:p>
      <w:pPr>
        <w:widowControl/>
        <w:spacing w:line="500" w:lineRule="exact"/>
        <w:rPr>
          <w:rFonts w:ascii="Times New Roman" w:hAnsi="Times New Roman"/>
          <w:snapToGrid w:val="0"/>
          <w:kern w:val="0"/>
          <w:sz w:val="24"/>
          <w:szCs w:val="24"/>
        </w:rPr>
        <w:sectPr>
          <w:pgSz w:w="11906" w:h="16838"/>
          <w:pgMar w:top="1440" w:right="1800" w:bottom="1440" w:left="1800" w:header="851" w:footer="992" w:gutter="0"/>
          <w:cols w:space="425" w:num="1"/>
          <w:docGrid w:type="lines" w:linePitch="312" w:charSpace="0"/>
        </w:sectPr>
      </w:pPr>
    </w:p>
    <w:p>
      <w:pPr>
        <w:widowControl/>
        <w:jc w:val="center"/>
        <w:rPr>
          <w:rFonts w:ascii="Times New Roman" w:hAnsi="Times New Roman"/>
          <w:snapToGrid w:val="0"/>
          <w:kern w:val="0"/>
          <w:sz w:val="24"/>
          <w:szCs w:val="24"/>
        </w:rPr>
      </w:pPr>
      <w:r>
        <w:rPr>
          <w:sz w:val="21"/>
        </w:rPr>
        <mc:AlternateContent>
          <mc:Choice Requires="wps">
            <w:drawing>
              <wp:anchor distT="0" distB="0" distL="114300" distR="114300" simplePos="0" relativeHeight="251678720" behindDoc="0" locked="0" layoutInCell="1" allowOverlap="1">
                <wp:simplePos x="0" y="0"/>
                <wp:positionH relativeFrom="column">
                  <wp:posOffset>1358900</wp:posOffset>
                </wp:positionH>
                <wp:positionV relativeFrom="paragraph">
                  <wp:posOffset>4140200</wp:posOffset>
                </wp:positionV>
                <wp:extent cx="1295400" cy="329565"/>
                <wp:effectExtent l="0" t="0" r="0" b="0"/>
                <wp:wrapNone/>
                <wp:docPr id="28" name="文本框 28"/>
                <wp:cNvGraphicFramePr/>
                <a:graphic xmlns:a="http://schemas.openxmlformats.org/drawingml/2006/main">
                  <a:graphicData uri="http://schemas.microsoft.com/office/word/2010/wordprocessingShape">
                    <wps:wsp>
                      <wps:cNvSpPr txBox="1"/>
                      <wps:spPr>
                        <a:xfrm>
                          <a:off x="1949450" y="4945380"/>
                          <a:ext cx="1295400" cy="3295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FF00"/>
                                <w:lang w:val="en-US" w:eastAsia="zh-CN"/>
                              </w:rPr>
                            </w:pPr>
                            <w:r>
                              <w:rPr>
                                <w:rFonts w:hint="eastAsia" w:ascii="宋体" w:hAnsi="宋体" w:eastAsia="宋体" w:cs="宋体"/>
                                <w:color w:val="FFFF00"/>
                              </w:rPr>
                              <w:t>█</w:t>
                            </w:r>
                            <w:r>
                              <w:rPr>
                                <w:rFonts w:hint="eastAsia" w:ascii="宋体" w:hAnsi="宋体" w:eastAsia="宋体" w:cs="宋体"/>
                                <w:color w:val="FFFF00"/>
                                <w:lang w:val="en-US" w:eastAsia="zh-CN"/>
                              </w:rPr>
                              <w:t xml:space="preserve"> </w:t>
                            </w:r>
                            <w:r>
                              <w:rPr>
                                <w:rFonts w:hint="eastAsia" w:ascii="宋体" w:hAnsi="宋体" w:eastAsia="宋体" w:cs="宋体"/>
                                <w:color w:val="000000" w:themeColor="text1"/>
                                <w:sz w:val="18"/>
                                <w:szCs w:val="18"/>
                                <w:lang w:val="en-US" w:eastAsia="zh-CN"/>
                                <w14:textFill>
                                  <w14:solidFill>
                                    <w14:schemeClr w14:val="tx1"/>
                                  </w14:solidFill>
                                </w14:textFill>
                              </w:rPr>
                              <w:t>土壤监测点位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pt;margin-top:326pt;height:25.95pt;width:102pt;z-index:251678720;mso-width-relative:page;mso-height-relative:page;" filled="f" stroked="f" coordsize="21600,21600" o:gfxdata="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aP3ao3AAAAAsBAAAPAAAAAAAAAAEAIAAA&#10;ACIAAABkcnMvZG93bnJldi54bWxQSwECFAAUAAAACACHTuJA3M7OwEECAAB0BAAADgAAAAAAAAAB&#10;ACAAAAArAQAAZHJzL2Uyb0RvYy54bWxQSwUGAAAAAAYABgBZAQAA3gUAAAAA&#10;">
                <v:fill on="f" focussize="0,0"/>
                <v:stroke on="f" weight="0.5pt"/>
                <v:imagedata o:title=""/>
                <o:lock v:ext="edit" aspectratio="f"/>
                <v:textbox>
                  <w:txbxContent>
                    <w:p>
                      <w:pPr>
                        <w:rPr>
                          <w:rFonts w:hint="default" w:eastAsia="宋体"/>
                          <w:color w:val="FFFF00"/>
                          <w:lang w:val="en-US" w:eastAsia="zh-CN"/>
                        </w:rPr>
                      </w:pPr>
                      <w:r>
                        <w:rPr>
                          <w:rFonts w:hint="eastAsia" w:ascii="宋体" w:hAnsi="宋体" w:eastAsia="宋体" w:cs="宋体"/>
                          <w:color w:val="FFFF00"/>
                        </w:rPr>
                        <w:t>█</w:t>
                      </w:r>
                      <w:r>
                        <w:rPr>
                          <w:rFonts w:hint="eastAsia" w:ascii="宋体" w:hAnsi="宋体" w:eastAsia="宋体" w:cs="宋体"/>
                          <w:color w:val="FFFF00"/>
                          <w:lang w:val="en-US" w:eastAsia="zh-CN"/>
                        </w:rPr>
                        <w:t xml:space="preserve"> </w:t>
                      </w:r>
                      <w:r>
                        <w:rPr>
                          <w:rFonts w:hint="eastAsia" w:ascii="宋体" w:hAnsi="宋体" w:eastAsia="宋体" w:cs="宋体"/>
                          <w:color w:val="000000" w:themeColor="text1"/>
                          <w:sz w:val="18"/>
                          <w:szCs w:val="18"/>
                          <w:lang w:val="en-US" w:eastAsia="zh-CN"/>
                          <w14:textFill>
                            <w14:solidFill>
                              <w14:schemeClr w14:val="tx1"/>
                            </w14:solidFill>
                          </w14:textFill>
                        </w:rPr>
                        <w:t>土壤监测点位</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8147050</wp:posOffset>
                </wp:positionH>
                <wp:positionV relativeFrom="paragraph">
                  <wp:posOffset>1370330</wp:posOffset>
                </wp:positionV>
                <wp:extent cx="621665" cy="33655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62166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FF00"/>
                                <w:lang w:val="en-US" w:eastAsia="zh-CN"/>
                              </w:rPr>
                            </w:pPr>
                            <w:r>
                              <w:rPr>
                                <w:rFonts w:hint="eastAsia" w:ascii="宋体" w:hAnsi="宋体" w:eastAsia="宋体" w:cs="宋体"/>
                                <w:color w:val="FFFF00"/>
                              </w:rPr>
                              <w:t>█</w:t>
                            </w:r>
                            <w:r>
                              <w:rPr>
                                <w:rFonts w:hint="default" w:ascii="Times New Roman" w:hAnsi="Times New Roman" w:eastAsia="宋体" w:cs="Times New Roman"/>
                                <w:b/>
                                <w:bCs/>
                                <w:color w:val="auto"/>
                                <w:lang w:val="en-US" w:eastAsia="zh-CN"/>
                              </w:rPr>
                              <w:t>T</w:t>
                            </w:r>
                            <w:r>
                              <w:rPr>
                                <w:rFonts w:hint="eastAsia" w:ascii="Times New Roman" w:hAnsi="Times New Roman" w:cs="Times New Roman"/>
                                <w:b/>
                                <w:bCs/>
                                <w:color w:val="auto"/>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1.5pt;margin-top:107.9pt;height:26.5pt;width:48.95pt;z-index:251677696;mso-width-relative:page;mso-height-relative:page;" filled="f" stroked="f" coordsize="21600,21600" o:gfxdata="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&#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sytt33AAAAA0BAAAPAAAAAAAAAAEAIAAAACIAAABk&#10;cnMvZG93bnJldi54bWxQSwECFAAUAAAACACHTuJA3+z1XDsCAABnBAAADgAAAAAAAAABACAAAAAr&#10;AQAAZHJzL2Uyb0RvYy54bWxQSwUGAAAAAAYABgBZAQAA2AUAAAAA&#10;">
                <v:fill on="f" focussize="0,0"/>
                <v:stroke on="f" weight="0.5pt"/>
                <v:imagedata o:title=""/>
                <o:lock v:ext="edit" aspectratio="f"/>
                <v:textbox>
                  <w:txbxContent>
                    <w:p>
                      <w:pPr>
                        <w:rPr>
                          <w:rFonts w:hint="default" w:eastAsia="宋体"/>
                          <w:color w:val="FFFF00"/>
                          <w:lang w:val="en-US" w:eastAsia="zh-CN"/>
                        </w:rPr>
                      </w:pPr>
                      <w:r>
                        <w:rPr>
                          <w:rFonts w:hint="eastAsia" w:ascii="宋体" w:hAnsi="宋体" w:eastAsia="宋体" w:cs="宋体"/>
                          <w:color w:val="FFFF00"/>
                        </w:rPr>
                        <w:t>█</w:t>
                      </w:r>
                      <w:r>
                        <w:rPr>
                          <w:rFonts w:hint="default" w:ascii="Times New Roman" w:hAnsi="Times New Roman" w:eastAsia="宋体" w:cs="Times New Roman"/>
                          <w:b/>
                          <w:bCs/>
                          <w:color w:val="auto"/>
                          <w:lang w:val="en-US" w:eastAsia="zh-CN"/>
                        </w:rPr>
                        <w:t>T</w:t>
                      </w:r>
                      <w:r>
                        <w:rPr>
                          <w:rFonts w:hint="eastAsia" w:ascii="Times New Roman" w:hAnsi="Times New Roman" w:cs="Times New Roman"/>
                          <w:b/>
                          <w:bCs/>
                          <w:color w:val="auto"/>
                          <w:lang w:val="en-US" w:eastAsia="zh-CN"/>
                        </w:rPr>
                        <w:t>10</w:t>
                      </w: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7702550</wp:posOffset>
                </wp:positionH>
                <wp:positionV relativeFrom="paragraph">
                  <wp:posOffset>1992630</wp:posOffset>
                </wp:positionV>
                <wp:extent cx="621665" cy="33655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62166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FF00"/>
                                <w:lang w:val="en-US" w:eastAsia="zh-CN"/>
                              </w:rPr>
                            </w:pPr>
                            <w:r>
                              <w:rPr>
                                <w:rFonts w:hint="eastAsia" w:ascii="宋体" w:hAnsi="宋体" w:eastAsia="宋体" w:cs="宋体"/>
                                <w:color w:val="FFFF00"/>
                              </w:rPr>
                              <w:t>█</w:t>
                            </w:r>
                            <w:r>
                              <w:rPr>
                                <w:rFonts w:hint="default" w:ascii="Times New Roman" w:hAnsi="Times New Roman" w:eastAsia="宋体" w:cs="Times New Roman"/>
                                <w:b/>
                                <w:bCs/>
                                <w:color w:val="auto"/>
                                <w:lang w:val="en-US" w:eastAsia="zh-CN"/>
                              </w:rPr>
                              <w:t>T</w:t>
                            </w:r>
                            <w:r>
                              <w:rPr>
                                <w:rFonts w:hint="eastAsia" w:ascii="Times New Roman" w:hAnsi="Times New Roman" w:cs="Times New Roman"/>
                                <w:b/>
                                <w:bCs/>
                                <w:color w:val="auto"/>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6.5pt;margin-top:156.9pt;height:26.5pt;width:48.95pt;z-index:251676672;mso-width-relative:page;mso-height-relative:page;" filled="f" stroked="f" coordsize="21600,21600" o:gfxdata="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Z9fLH3AAAAA0BAAAPAAAAAAAAAAEAIAAAACIAAABk&#10;cnMvZG93bnJldi54bWxQSwECFAAUAAAACACHTuJAcGvBvjsCAABnBAAADgAAAAAAAAABACAAAAAr&#10;AQAAZHJzL2Uyb0RvYy54bWxQSwUGAAAAAAYABgBZAQAA2AUAAAAA&#10;">
                <v:fill on="f" focussize="0,0"/>
                <v:stroke on="f" weight="0.5pt"/>
                <v:imagedata o:title=""/>
                <o:lock v:ext="edit" aspectratio="f"/>
                <v:textbox>
                  <w:txbxContent>
                    <w:p>
                      <w:pPr>
                        <w:rPr>
                          <w:rFonts w:hint="default" w:eastAsia="宋体"/>
                          <w:color w:val="FFFF00"/>
                          <w:lang w:val="en-US" w:eastAsia="zh-CN"/>
                        </w:rPr>
                      </w:pPr>
                      <w:r>
                        <w:rPr>
                          <w:rFonts w:hint="eastAsia" w:ascii="宋体" w:hAnsi="宋体" w:eastAsia="宋体" w:cs="宋体"/>
                          <w:color w:val="FFFF00"/>
                        </w:rPr>
                        <w:t>█</w:t>
                      </w:r>
                      <w:r>
                        <w:rPr>
                          <w:rFonts w:hint="default" w:ascii="Times New Roman" w:hAnsi="Times New Roman" w:eastAsia="宋体" w:cs="Times New Roman"/>
                          <w:b/>
                          <w:bCs/>
                          <w:color w:val="auto"/>
                          <w:lang w:val="en-US" w:eastAsia="zh-CN"/>
                        </w:rPr>
                        <w:t>T</w:t>
                      </w:r>
                      <w:r>
                        <w:rPr>
                          <w:rFonts w:hint="eastAsia" w:ascii="Times New Roman" w:hAnsi="Times New Roman" w:cs="Times New Roman"/>
                          <w:b/>
                          <w:bCs/>
                          <w:color w:val="auto"/>
                          <w:lang w:val="en-US" w:eastAsia="zh-CN"/>
                        </w:rPr>
                        <w:t>8</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8147050</wp:posOffset>
                </wp:positionH>
                <wp:positionV relativeFrom="paragraph">
                  <wp:posOffset>2684780</wp:posOffset>
                </wp:positionV>
                <wp:extent cx="621665" cy="33655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62166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FF00"/>
                                <w:lang w:val="en-US" w:eastAsia="zh-CN"/>
                              </w:rPr>
                            </w:pPr>
                            <w:r>
                              <w:rPr>
                                <w:rFonts w:hint="eastAsia" w:ascii="宋体" w:hAnsi="宋体" w:eastAsia="宋体" w:cs="宋体"/>
                                <w:color w:val="FFFF00"/>
                              </w:rPr>
                              <w:t>█</w:t>
                            </w:r>
                            <w:r>
                              <w:rPr>
                                <w:rFonts w:hint="default" w:ascii="Times New Roman" w:hAnsi="Times New Roman" w:eastAsia="宋体" w:cs="Times New Roman"/>
                                <w:b/>
                                <w:bCs/>
                                <w:color w:val="auto"/>
                                <w:lang w:val="en-US" w:eastAsia="zh-CN"/>
                              </w:rPr>
                              <w:t>T</w:t>
                            </w:r>
                            <w:r>
                              <w:rPr>
                                <w:rFonts w:hint="eastAsia" w:ascii="Times New Roman" w:hAnsi="Times New Roman" w:cs="Times New Roman"/>
                                <w:b/>
                                <w:bCs/>
                                <w:color w:val="auto"/>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1.5pt;margin-top:211.4pt;height:26.5pt;width:48.95pt;z-index:251675648;mso-width-relative:page;mso-height-relative:page;" filled="f" stroked="f" coordsize="21600,21600" o:gfxdata="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&#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M+DEp3AAAAA0BAAAPAAAAAAAAAAEAIAAAACIAAABk&#10;cnMvZG93bnJldi54bWxQSwECFAAUAAAACACHTuJAKhQCVjsCAABnBAAADgAAAAAAAAABACAAAAAr&#10;AQAAZHJzL2Uyb0RvYy54bWxQSwUGAAAAAAYABgBZAQAA2AUAAAAA&#10;">
                <v:fill on="f" focussize="0,0"/>
                <v:stroke on="f" weight="0.5pt"/>
                <v:imagedata o:title=""/>
                <o:lock v:ext="edit" aspectratio="f"/>
                <v:textbox>
                  <w:txbxContent>
                    <w:p>
                      <w:pPr>
                        <w:rPr>
                          <w:rFonts w:hint="default" w:eastAsia="宋体"/>
                          <w:color w:val="FFFF00"/>
                          <w:lang w:val="en-US" w:eastAsia="zh-CN"/>
                        </w:rPr>
                      </w:pPr>
                      <w:r>
                        <w:rPr>
                          <w:rFonts w:hint="eastAsia" w:ascii="宋体" w:hAnsi="宋体" w:eastAsia="宋体" w:cs="宋体"/>
                          <w:color w:val="FFFF00"/>
                        </w:rPr>
                        <w:t>█</w:t>
                      </w:r>
                      <w:r>
                        <w:rPr>
                          <w:rFonts w:hint="default" w:ascii="Times New Roman" w:hAnsi="Times New Roman" w:eastAsia="宋体" w:cs="Times New Roman"/>
                          <w:b/>
                          <w:bCs/>
                          <w:color w:val="auto"/>
                          <w:lang w:val="en-US" w:eastAsia="zh-CN"/>
                        </w:rPr>
                        <w:t>T</w:t>
                      </w:r>
                      <w:r>
                        <w:rPr>
                          <w:rFonts w:hint="eastAsia" w:ascii="Times New Roman" w:hAnsi="Times New Roman" w:cs="Times New Roman"/>
                          <w:b/>
                          <w:bCs/>
                          <w:color w:val="auto"/>
                          <w:lang w:val="en-US" w:eastAsia="zh-CN"/>
                        </w:rPr>
                        <w:t>9</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6889750</wp:posOffset>
                </wp:positionH>
                <wp:positionV relativeFrom="paragraph">
                  <wp:posOffset>2399030</wp:posOffset>
                </wp:positionV>
                <wp:extent cx="621665" cy="33655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62166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FF00"/>
                                <w:lang w:val="en-US" w:eastAsia="zh-CN"/>
                              </w:rPr>
                            </w:pPr>
                            <w:r>
                              <w:rPr>
                                <w:rFonts w:hint="eastAsia" w:ascii="宋体" w:hAnsi="宋体" w:eastAsia="宋体" w:cs="宋体"/>
                                <w:color w:val="FFFF00"/>
                              </w:rPr>
                              <w:t>█</w:t>
                            </w:r>
                            <w:r>
                              <w:rPr>
                                <w:rFonts w:hint="default" w:ascii="Times New Roman" w:hAnsi="Times New Roman" w:eastAsia="宋体" w:cs="Times New Roman"/>
                                <w:b/>
                                <w:bCs/>
                                <w:color w:val="auto"/>
                                <w:lang w:val="en-US" w:eastAsia="zh-CN"/>
                              </w:rPr>
                              <w:t>T</w:t>
                            </w:r>
                            <w:r>
                              <w:rPr>
                                <w:rFonts w:hint="eastAsia" w:ascii="Times New Roman" w:hAnsi="Times New Roman" w:cs="Times New Roman"/>
                                <w:b/>
                                <w:bCs/>
                                <w:color w:val="auto"/>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2.5pt;margin-top:188.9pt;height:26.5pt;width:48.95pt;z-index:251674624;mso-width-relative:page;mso-height-relative:page;" filled="f" stroked="f" coordsize="21600,21600" o:gfxdata="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RvZsN0AAAANAQAADwAAAAAAAAABACAAAAAiAAAA&#10;ZHJzL2Rvd25yZXYueG1sUEsBAhQAFAAAAAgAh07iQG9i2aE7AgAAZwQAAA4AAAAAAAAAAQAgAAAA&#10;LAEAAGRycy9lMm9Eb2MueG1sUEsFBgAAAAAGAAYAWQEAANkFAAAAAA==&#10;">
                <v:fill on="f" focussize="0,0"/>
                <v:stroke on="f" weight="0.5pt"/>
                <v:imagedata o:title=""/>
                <o:lock v:ext="edit" aspectratio="f"/>
                <v:textbox>
                  <w:txbxContent>
                    <w:p>
                      <w:pPr>
                        <w:rPr>
                          <w:rFonts w:hint="default" w:eastAsia="宋体"/>
                          <w:color w:val="FFFF00"/>
                          <w:lang w:val="en-US" w:eastAsia="zh-CN"/>
                        </w:rPr>
                      </w:pPr>
                      <w:r>
                        <w:rPr>
                          <w:rFonts w:hint="eastAsia" w:ascii="宋体" w:hAnsi="宋体" w:eastAsia="宋体" w:cs="宋体"/>
                          <w:color w:val="FFFF00"/>
                        </w:rPr>
                        <w:t>█</w:t>
                      </w:r>
                      <w:r>
                        <w:rPr>
                          <w:rFonts w:hint="default" w:ascii="Times New Roman" w:hAnsi="Times New Roman" w:eastAsia="宋体" w:cs="Times New Roman"/>
                          <w:b/>
                          <w:bCs/>
                          <w:color w:val="auto"/>
                          <w:lang w:val="en-US" w:eastAsia="zh-CN"/>
                        </w:rPr>
                        <w:t>T</w:t>
                      </w:r>
                      <w:r>
                        <w:rPr>
                          <w:rFonts w:hint="eastAsia" w:ascii="Times New Roman" w:hAnsi="Times New Roman" w:cs="Times New Roman"/>
                          <w:b/>
                          <w:bCs/>
                          <w:color w:val="auto"/>
                          <w:lang w:val="en-US" w:eastAsia="zh-CN"/>
                        </w:rPr>
                        <w:t>7</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7004050</wp:posOffset>
                </wp:positionH>
                <wp:positionV relativeFrom="paragraph">
                  <wp:posOffset>1478280</wp:posOffset>
                </wp:positionV>
                <wp:extent cx="621665" cy="33655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62166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FF00"/>
                                <w:lang w:val="en-US" w:eastAsia="zh-CN"/>
                              </w:rPr>
                            </w:pPr>
                            <w:r>
                              <w:rPr>
                                <w:rFonts w:hint="eastAsia" w:ascii="宋体" w:hAnsi="宋体" w:eastAsia="宋体" w:cs="宋体"/>
                                <w:color w:val="FFFF00"/>
                              </w:rPr>
                              <w:t>█</w:t>
                            </w:r>
                            <w:r>
                              <w:rPr>
                                <w:rFonts w:hint="default" w:ascii="Times New Roman" w:hAnsi="Times New Roman" w:eastAsia="宋体" w:cs="Times New Roman"/>
                                <w:b/>
                                <w:bCs/>
                                <w:color w:val="auto"/>
                                <w:lang w:val="en-US" w:eastAsia="zh-CN"/>
                              </w:rPr>
                              <w:t>T</w:t>
                            </w:r>
                            <w:r>
                              <w:rPr>
                                <w:rFonts w:hint="eastAsia" w:ascii="Times New Roman" w:hAnsi="Times New Roman" w:cs="Times New Roman"/>
                                <w:b/>
                                <w:bCs/>
                                <w:color w:val="auto"/>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1.5pt;margin-top:116.4pt;height:26.5pt;width:48.95pt;z-index:251673600;mso-width-relative:page;mso-height-relative:page;" filled="f" stroked="f" coordsize="21600,21600" o:gfxdata="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xhJ2XbAAAADQEAAA8AAAAAAAAAAQAgAAAAIgAAAGRy&#10;cy9kb3ducmV2LnhtbFBLAQIUABQAAAAIAIdO4kA1HRpJOwIAAGcEAAAOAAAAAAAAAAEAIAAAACoB&#10;AABkcnMvZTJvRG9jLnhtbFBLBQYAAAAABgAGAFkBAADXBQAAAAA=&#10;">
                <v:fill on="f" focussize="0,0"/>
                <v:stroke on="f" weight="0.5pt"/>
                <v:imagedata o:title=""/>
                <o:lock v:ext="edit" aspectratio="f"/>
                <v:textbox>
                  <w:txbxContent>
                    <w:p>
                      <w:pPr>
                        <w:rPr>
                          <w:rFonts w:hint="default" w:eastAsia="宋体"/>
                          <w:color w:val="FFFF00"/>
                          <w:lang w:val="en-US" w:eastAsia="zh-CN"/>
                        </w:rPr>
                      </w:pPr>
                      <w:r>
                        <w:rPr>
                          <w:rFonts w:hint="eastAsia" w:ascii="宋体" w:hAnsi="宋体" w:eastAsia="宋体" w:cs="宋体"/>
                          <w:color w:val="FFFF00"/>
                        </w:rPr>
                        <w:t>█</w:t>
                      </w:r>
                      <w:r>
                        <w:rPr>
                          <w:rFonts w:hint="default" w:ascii="Times New Roman" w:hAnsi="Times New Roman" w:eastAsia="宋体" w:cs="Times New Roman"/>
                          <w:b/>
                          <w:bCs/>
                          <w:color w:val="auto"/>
                          <w:lang w:val="en-US" w:eastAsia="zh-CN"/>
                        </w:rPr>
                        <w:t>T</w:t>
                      </w:r>
                      <w:r>
                        <w:rPr>
                          <w:rFonts w:hint="eastAsia" w:ascii="Times New Roman" w:hAnsi="Times New Roman" w:cs="Times New Roman"/>
                          <w:b/>
                          <w:bCs/>
                          <w:color w:val="auto"/>
                          <w:lang w:val="en-US" w:eastAsia="zh-CN"/>
                        </w:rPr>
                        <w:t>6</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5791200</wp:posOffset>
                </wp:positionH>
                <wp:positionV relativeFrom="paragraph">
                  <wp:posOffset>1935480</wp:posOffset>
                </wp:positionV>
                <wp:extent cx="621665" cy="33655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62166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FF00"/>
                                <w:lang w:val="en-US" w:eastAsia="zh-CN"/>
                              </w:rPr>
                            </w:pPr>
                            <w:r>
                              <w:rPr>
                                <w:rFonts w:hint="eastAsia" w:ascii="宋体" w:hAnsi="宋体" w:eastAsia="宋体" w:cs="宋体"/>
                                <w:color w:val="FFFF00"/>
                              </w:rPr>
                              <w:t>█</w:t>
                            </w:r>
                            <w:r>
                              <w:rPr>
                                <w:rFonts w:hint="default" w:ascii="Times New Roman" w:hAnsi="Times New Roman" w:eastAsia="宋体" w:cs="Times New Roman"/>
                                <w:b/>
                                <w:bCs/>
                                <w:color w:val="auto"/>
                                <w:lang w:val="en-US" w:eastAsia="zh-CN"/>
                              </w:rPr>
                              <w:t>T</w:t>
                            </w:r>
                            <w:r>
                              <w:rPr>
                                <w:rFonts w:hint="eastAsia" w:ascii="Times New Roman" w:hAnsi="Times New Roman" w:cs="Times New Roman"/>
                                <w:b/>
                                <w:bCs/>
                                <w:color w:val="auto"/>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6pt;margin-top:152.4pt;height:26.5pt;width:48.95pt;z-index:251672576;mso-width-relative:page;mso-height-relative:page;" filled="f" stroked="f" coordsize="21600,21600" o:gfxdata="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&#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57a/Z3AAAAAwBAAAPAAAAAAAAAAEAIAAAACIAAABk&#10;cnMvZG93bnJldi54bWxQSwECFAAUAAAACACHTuJAmpouqzsCAABnBAAADgAAAAAAAAABACAAAAAr&#10;AQAAZHJzL2Uyb0RvYy54bWxQSwUGAAAAAAYABgBZAQAA2AUAAAAA&#10;">
                <v:fill on="f" focussize="0,0"/>
                <v:stroke on="f" weight="0.5pt"/>
                <v:imagedata o:title=""/>
                <o:lock v:ext="edit" aspectratio="f"/>
                <v:textbox>
                  <w:txbxContent>
                    <w:p>
                      <w:pPr>
                        <w:rPr>
                          <w:rFonts w:hint="default" w:eastAsia="宋体"/>
                          <w:color w:val="FFFF00"/>
                          <w:lang w:val="en-US" w:eastAsia="zh-CN"/>
                        </w:rPr>
                      </w:pPr>
                      <w:r>
                        <w:rPr>
                          <w:rFonts w:hint="eastAsia" w:ascii="宋体" w:hAnsi="宋体" w:eastAsia="宋体" w:cs="宋体"/>
                          <w:color w:val="FFFF00"/>
                        </w:rPr>
                        <w:t>█</w:t>
                      </w:r>
                      <w:r>
                        <w:rPr>
                          <w:rFonts w:hint="default" w:ascii="Times New Roman" w:hAnsi="Times New Roman" w:eastAsia="宋体" w:cs="Times New Roman"/>
                          <w:b/>
                          <w:bCs/>
                          <w:color w:val="auto"/>
                          <w:lang w:val="en-US" w:eastAsia="zh-CN"/>
                        </w:rPr>
                        <w:t>T</w:t>
                      </w:r>
                      <w:r>
                        <w:rPr>
                          <w:rFonts w:hint="eastAsia" w:ascii="Times New Roman" w:hAnsi="Times New Roman" w:cs="Times New Roman"/>
                          <w:b/>
                          <w:bCs/>
                          <w:color w:val="auto"/>
                          <w:lang w:val="en-US" w:eastAsia="zh-CN"/>
                        </w:rPr>
                        <w:t>5</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4876800</wp:posOffset>
                </wp:positionH>
                <wp:positionV relativeFrom="paragraph">
                  <wp:posOffset>2018030</wp:posOffset>
                </wp:positionV>
                <wp:extent cx="621665" cy="33655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62166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FF00"/>
                                <w:lang w:val="en-US" w:eastAsia="zh-CN"/>
                              </w:rPr>
                            </w:pPr>
                            <w:r>
                              <w:rPr>
                                <w:rFonts w:hint="eastAsia" w:ascii="宋体" w:hAnsi="宋体" w:eastAsia="宋体" w:cs="宋体"/>
                                <w:color w:val="FFFF00"/>
                              </w:rPr>
                              <w:t>█</w:t>
                            </w:r>
                            <w:r>
                              <w:rPr>
                                <w:rFonts w:hint="default" w:ascii="Times New Roman" w:hAnsi="Times New Roman" w:eastAsia="宋体" w:cs="Times New Roman"/>
                                <w:b/>
                                <w:bCs/>
                                <w:color w:val="auto"/>
                                <w:lang w:val="en-US" w:eastAsia="zh-CN"/>
                              </w:rPr>
                              <w:t>T</w:t>
                            </w:r>
                            <w:r>
                              <w:rPr>
                                <w:rFonts w:hint="eastAsia" w:ascii="Times New Roman" w:hAnsi="Times New Roman" w:cs="Times New Roman"/>
                                <w:b/>
                                <w:bCs/>
                                <w:color w:val="auto"/>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pt;margin-top:158.9pt;height:26.5pt;width:48.95pt;z-index:251670528;mso-width-relative:page;mso-height-relative:page;" filled="f" stroked="f" coordsize="21600,21600" o:gfxdata="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&#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b91ny3AAAAAsBAAAPAAAAAAAAAAEAIAAAACIAAABk&#10;cnMvZG93bnJldi54bWxQSwECFAAUAAAACACHTuJAsPN6xjsCAABnBAAADgAAAAAAAAABACAAAAAr&#10;AQAAZHJzL2Uyb0RvYy54bWxQSwUGAAAAAAYABgBZAQAA2AUAAAAA&#10;">
                <v:fill on="f" focussize="0,0"/>
                <v:stroke on="f" weight="0.5pt"/>
                <v:imagedata o:title=""/>
                <o:lock v:ext="edit" aspectratio="f"/>
                <v:textbox>
                  <w:txbxContent>
                    <w:p>
                      <w:pPr>
                        <w:rPr>
                          <w:rFonts w:hint="default" w:eastAsia="宋体"/>
                          <w:color w:val="FFFF00"/>
                          <w:lang w:val="en-US" w:eastAsia="zh-CN"/>
                        </w:rPr>
                      </w:pPr>
                      <w:r>
                        <w:rPr>
                          <w:rFonts w:hint="eastAsia" w:ascii="宋体" w:hAnsi="宋体" w:eastAsia="宋体" w:cs="宋体"/>
                          <w:color w:val="FFFF00"/>
                        </w:rPr>
                        <w:t>█</w:t>
                      </w:r>
                      <w:r>
                        <w:rPr>
                          <w:rFonts w:hint="default" w:ascii="Times New Roman" w:hAnsi="Times New Roman" w:eastAsia="宋体" w:cs="Times New Roman"/>
                          <w:b/>
                          <w:bCs/>
                          <w:color w:val="auto"/>
                          <w:lang w:val="en-US" w:eastAsia="zh-CN"/>
                        </w:rPr>
                        <w:t>T</w:t>
                      </w:r>
                      <w:r>
                        <w:rPr>
                          <w:rFonts w:hint="eastAsia" w:ascii="Times New Roman" w:hAnsi="Times New Roman" w:cs="Times New Roman"/>
                          <w:b/>
                          <w:bCs/>
                          <w:color w:val="auto"/>
                          <w:lang w:val="en-US" w:eastAsia="zh-CN"/>
                        </w:rPr>
                        <w:t>4</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4781550</wp:posOffset>
                </wp:positionH>
                <wp:positionV relativeFrom="paragraph">
                  <wp:posOffset>1490980</wp:posOffset>
                </wp:positionV>
                <wp:extent cx="621665" cy="33655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62166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FF00"/>
                                <w:lang w:val="en-US" w:eastAsia="zh-CN"/>
                              </w:rPr>
                            </w:pPr>
                            <w:r>
                              <w:rPr>
                                <w:rFonts w:hint="eastAsia" w:ascii="宋体" w:hAnsi="宋体" w:eastAsia="宋体" w:cs="宋体"/>
                                <w:color w:val="FFFF00"/>
                              </w:rPr>
                              <w:t>█</w:t>
                            </w:r>
                            <w:r>
                              <w:rPr>
                                <w:rFonts w:hint="default" w:ascii="Times New Roman" w:hAnsi="Times New Roman" w:eastAsia="宋体" w:cs="Times New Roman"/>
                                <w:b/>
                                <w:bCs/>
                                <w:color w:val="auto"/>
                                <w:lang w:val="en-US" w:eastAsia="zh-CN"/>
                              </w:rPr>
                              <w:t>T</w:t>
                            </w:r>
                            <w:r>
                              <w:rPr>
                                <w:rFonts w:hint="eastAsia" w:ascii="Times New Roman" w:hAnsi="Times New Roman" w:cs="Times New Roman"/>
                                <w:b/>
                                <w:bCs/>
                                <w:color w:val="auto"/>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5pt;margin-top:117.4pt;height:26.5pt;width:48.95pt;z-index:251671552;mso-width-relative:page;mso-height-relative:page;" filled="f" stroked="f" coordsize="21600,21600" o:gfxdata="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jeJUfcAAAACwEAAA8AAAAAAAAAAQAgAAAAIgAAAGRy&#10;cy9kb3ducmV2LnhtbFBLAQIUABQAAAAIAIdO4kDA5e1DOgIAAGcEAAAOAAAAAAAAAAEAIAAAACsB&#10;AABkcnMvZTJvRG9jLnhtbFBLBQYAAAAABgAGAFkBAADXBQAAAAA=&#10;">
                <v:fill on="f" focussize="0,0"/>
                <v:stroke on="f" weight="0.5pt"/>
                <v:imagedata o:title=""/>
                <o:lock v:ext="edit" aspectratio="f"/>
                <v:textbox>
                  <w:txbxContent>
                    <w:p>
                      <w:pPr>
                        <w:rPr>
                          <w:rFonts w:hint="default" w:eastAsia="宋体"/>
                          <w:color w:val="FFFF00"/>
                          <w:lang w:val="en-US" w:eastAsia="zh-CN"/>
                        </w:rPr>
                      </w:pPr>
                      <w:r>
                        <w:rPr>
                          <w:rFonts w:hint="eastAsia" w:ascii="宋体" w:hAnsi="宋体" w:eastAsia="宋体" w:cs="宋体"/>
                          <w:color w:val="FFFF00"/>
                        </w:rPr>
                        <w:t>█</w:t>
                      </w:r>
                      <w:r>
                        <w:rPr>
                          <w:rFonts w:hint="default" w:ascii="Times New Roman" w:hAnsi="Times New Roman" w:eastAsia="宋体" w:cs="Times New Roman"/>
                          <w:b/>
                          <w:bCs/>
                          <w:color w:val="auto"/>
                          <w:lang w:val="en-US" w:eastAsia="zh-CN"/>
                        </w:rPr>
                        <w:t>T</w:t>
                      </w:r>
                      <w:r>
                        <w:rPr>
                          <w:rFonts w:hint="eastAsia" w:ascii="Times New Roman" w:hAnsi="Times New Roman" w:cs="Times New Roman"/>
                          <w:b/>
                          <w:bCs/>
                          <w:color w:val="auto"/>
                          <w:lang w:val="en-US" w:eastAsia="zh-CN"/>
                        </w:rPr>
                        <w:t>3</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3289300</wp:posOffset>
                </wp:positionH>
                <wp:positionV relativeFrom="paragraph">
                  <wp:posOffset>1478280</wp:posOffset>
                </wp:positionV>
                <wp:extent cx="621665" cy="33655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62166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FF00"/>
                                <w:lang w:val="en-US" w:eastAsia="zh-CN"/>
                              </w:rPr>
                            </w:pPr>
                            <w:r>
                              <w:rPr>
                                <w:rFonts w:hint="eastAsia" w:ascii="宋体" w:hAnsi="宋体" w:eastAsia="宋体" w:cs="宋体"/>
                                <w:color w:val="FFFF00"/>
                              </w:rPr>
                              <w:t>█</w:t>
                            </w:r>
                            <w:r>
                              <w:rPr>
                                <w:rFonts w:hint="default" w:ascii="Times New Roman" w:hAnsi="Times New Roman" w:eastAsia="宋体" w:cs="Times New Roman"/>
                                <w:b/>
                                <w:bCs/>
                                <w:color w:val="auto"/>
                                <w:lang w:val="en-US" w:eastAsia="zh-CN"/>
                              </w:rPr>
                              <w:t>T</w:t>
                            </w:r>
                            <w:r>
                              <w:rPr>
                                <w:rFonts w:hint="eastAsia" w:ascii="Times New Roman" w:hAnsi="Times New Roman" w:cs="Times New Roman"/>
                                <w:b/>
                                <w:bCs/>
                                <w:color w:val="auto"/>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pt;margin-top:116.4pt;height:26.5pt;width:48.95pt;z-index:251669504;mso-width-relative:page;mso-height-relative:page;" filled="f" stroked="f" coordsize="21600,21600" o:gfxdata="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woZ99sAAAALAQAADwAAAAAAAAABACAAAAAiAAAAZHJz&#10;L2Rvd25yZXYueG1sUEsBAhQAFAAAAAgAh07iQOqMuS46AgAAZwQAAA4AAAAAAAAAAQAgAAAAKgEA&#10;AGRycy9lMm9Eb2MueG1sUEsFBgAAAAAGAAYAWQEAANYFAAAAAA==&#10;">
                <v:fill on="f" focussize="0,0"/>
                <v:stroke on="f" weight="0.5pt"/>
                <v:imagedata o:title=""/>
                <o:lock v:ext="edit" aspectratio="f"/>
                <v:textbox>
                  <w:txbxContent>
                    <w:p>
                      <w:pPr>
                        <w:rPr>
                          <w:rFonts w:hint="default" w:eastAsia="宋体"/>
                          <w:color w:val="FFFF00"/>
                          <w:lang w:val="en-US" w:eastAsia="zh-CN"/>
                        </w:rPr>
                      </w:pPr>
                      <w:r>
                        <w:rPr>
                          <w:rFonts w:hint="eastAsia" w:ascii="宋体" w:hAnsi="宋体" w:eastAsia="宋体" w:cs="宋体"/>
                          <w:color w:val="FFFF00"/>
                        </w:rPr>
                        <w:t>█</w:t>
                      </w:r>
                      <w:r>
                        <w:rPr>
                          <w:rFonts w:hint="default" w:ascii="Times New Roman" w:hAnsi="Times New Roman" w:eastAsia="宋体" w:cs="Times New Roman"/>
                          <w:b/>
                          <w:bCs/>
                          <w:color w:val="auto"/>
                          <w:lang w:val="en-US" w:eastAsia="zh-CN"/>
                        </w:rPr>
                        <w:t>T</w:t>
                      </w:r>
                      <w:r>
                        <w:rPr>
                          <w:rFonts w:hint="eastAsia" w:ascii="Times New Roman" w:hAnsi="Times New Roman" w:cs="Times New Roman"/>
                          <w:b/>
                          <w:bCs/>
                          <w:color w:val="auto"/>
                          <w:lang w:val="en-US" w:eastAsia="zh-CN"/>
                        </w:rPr>
                        <w:t>2</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3397250</wp:posOffset>
                </wp:positionH>
                <wp:positionV relativeFrom="paragraph">
                  <wp:posOffset>2208530</wp:posOffset>
                </wp:positionV>
                <wp:extent cx="621665" cy="33655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62166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FF00"/>
                                <w:lang w:val="en-US" w:eastAsia="zh-CN"/>
                              </w:rPr>
                            </w:pPr>
                            <w:r>
                              <w:rPr>
                                <w:rFonts w:hint="eastAsia" w:ascii="宋体" w:hAnsi="宋体" w:eastAsia="宋体" w:cs="宋体"/>
                                <w:color w:val="FFFF00"/>
                              </w:rPr>
                              <w:t>█</w:t>
                            </w:r>
                            <w:r>
                              <w:rPr>
                                <w:rFonts w:hint="default" w:ascii="Times New Roman" w:hAnsi="Times New Roman" w:eastAsia="宋体" w:cs="Times New Roman"/>
                                <w:b/>
                                <w:bCs/>
                                <w:color w:val="auto"/>
                                <w:lang w:val="en-US" w:eastAsia="zh-CN"/>
                              </w:rPr>
                              <w:t>T</w:t>
                            </w:r>
                            <w:r>
                              <w:rPr>
                                <w:rFonts w:hint="eastAsia" w:ascii="Times New Roman" w:hAnsi="Times New Roman" w:cs="Times New Roman"/>
                                <w:b/>
                                <w:bCs/>
                                <w:color w:val="auto"/>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5pt;margin-top:173.9pt;height:26.5pt;width:48.95pt;z-index:251668480;mso-width-relative:page;mso-height-relative:page;" filled="f" stroked="f" coordsize="21600,21600" o:gfxdata="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&#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lTiDb3AAAAAsBAAAPAAAAAAAAAAEAIAAAACIAAABk&#10;cnMvZG93bnJldi54bWxQSwECFAAUAAAACACHTuJAexm98jsCAABnBAAADgAAAAAAAAABACAAAAAr&#10;AQAAZHJzL2Uyb0RvYy54bWxQSwUGAAAAAAYABgBZAQAA2AUAAAAA&#10;">
                <v:fill on="f" focussize="0,0"/>
                <v:stroke on="f" weight="0.5pt"/>
                <v:imagedata o:title=""/>
                <o:lock v:ext="edit" aspectratio="f"/>
                <v:textbox>
                  <w:txbxContent>
                    <w:p>
                      <w:pPr>
                        <w:rPr>
                          <w:rFonts w:hint="default" w:eastAsia="宋体"/>
                          <w:color w:val="FFFF00"/>
                          <w:lang w:val="en-US" w:eastAsia="zh-CN"/>
                        </w:rPr>
                      </w:pPr>
                      <w:r>
                        <w:rPr>
                          <w:rFonts w:hint="eastAsia" w:ascii="宋体" w:hAnsi="宋体" w:eastAsia="宋体" w:cs="宋体"/>
                          <w:color w:val="FFFF00"/>
                        </w:rPr>
                        <w:t>█</w:t>
                      </w:r>
                      <w:r>
                        <w:rPr>
                          <w:rFonts w:hint="default" w:ascii="Times New Roman" w:hAnsi="Times New Roman" w:eastAsia="宋体" w:cs="Times New Roman"/>
                          <w:b/>
                          <w:bCs/>
                          <w:color w:val="auto"/>
                          <w:lang w:val="en-US" w:eastAsia="zh-CN"/>
                        </w:rPr>
                        <w:t>T</w:t>
                      </w:r>
                      <w:r>
                        <w:rPr>
                          <w:rFonts w:hint="eastAsia" w:ascii="Times New Roman" w:hAnsi="Times New Roman" w:cs="Times New Roman"/>
                          <w:b/>
                          <w:bCs/>
                          <w:color w:val="auto"/>
                          <w:lang w:val="en-US" w:eastAsia="zh-CN"/>
                        </w:rPr>
                        <w:t>1</w:t>
                      </w:r>
                    </w:p>
                  </w:txbxContent>
                </v:textbox>
              </v:shape>
            </w:pict>
          </mc:Fallback>
        </mc:AlternateContent>
      </w:r>
      <w:r>
        <w:drawing>
          <wp:inline distT="0" distB="0" distL="114300" distR="114300">
            <wp:extent cx="9404350" cy="4381500"/>
            <wp:effectExtent l="0" t="0" r="635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0"/>
                    <a:stretch>
                      <a:fillRect/>
                    </a:stretch>
                  </pic:blipFill>
                  <pic:spPr>
                    <a:xfrm>
                      <a:off x="0" y="0"/>
                      <a:ext cx="9404350" cy="4381500"/>
                    </a:xfrm>
                    <a:prstGeom prst="rect">
                      <a:avLst/>
                    </a:prstGeom>
                    <a:noFill/>
                    <a:ln>
                      <a:noFill/>
                    </a:ln>
                  </pic:spPr>
                </pic:pic>
              </a:graphicData>
            </a:graphic>
          </wp:inline>
        </w:drawing>
      </w:r>
      <w:r>
        <w:rPr>
          <w:sz w:val="21"/>
        </w:rPr>
        <mc:AlternateContent>
          <mc:Choice Requires="wps">
            <w:drawing>
              <wp:anchor distT="0" distB="0" distL="114300" distR="114300" simplePos="0" relativeHeight="251667456" behindDoc="0" locked="0" layoutInCell="1" allowOverlap="1">
                <wp:simplePos x="0" y="0"/>
                <wp:positionH relativeFrom="column">
                  <wp:posOffset>990600</wp:posOffset>
                </wp:positionH>
                <wp:positionV relativeFrom="paragraph">
                  <wp:posOffset>2538730</wp:posOffset>
                </wp:positionV>
                <wp:extent cx="621665" cy="336550"/>
                <wp:effectExtent l="0" t="0" r="0" b="0"/>
                <wp:wrapNone/>
                <wp:docPr id="16" name="文本框 16"/>
                <wp:cNvGraphicFramePr/>
                <a:graphic xmlns:a="http://schemas.openxmlformats.org/drawingml/2006/main">
                  <a:graphicData uri="http://schemas.microsoft.com/office/word/2010/wordprocessingShape">
                    <wps:wsp>
                      <wps:cNvSpPr txBox="1"/>
                      <wps:spPr>
                        <a:xfrm>
                          <a:off x="1447800" y="3249295"/>
                          <a:ext cx="621665"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FF00"/>
                                <w:lang w:val="en-US" w:eastAsia="zh-CN"/>
                              </w:rPr>
                            </w:pPr>
                            <w:r>
                              <w:rPr>
                                <w:rFonts w:hint="eastAsia" w:ascii="宋体" w:hAnsi="宋体" w:eastAsia="宋体" w:cs="宋体"/>
                                <w:color w:val="FFFF00"/>
                              </w:rPr>
                              <w:t>█</w:t>
                            </w:r>
                            <w:r>
                              <w:rPr>
                                <w:rFonts w:hint="default" w:ascii="Times New Roman" w:hAnsi="Times New Roman" w:eastAsia="宋体" w:cs="Times New Roman"/>
                                <w:b/>
                                <w:bCs/>
                                <w:color w:val="auto"/>
                                <w:lang w:val="en-US" w:eastAsia="zh-CN"/>
                              </w:rPr>
                              <w:t>T</w:t>
                            </w:r>
                            <w:r>
                              <w:rPr>
                                <w:rFonts w:hint="eastAsia" w:ascii="Times New Roman" w:hAnsi="Times New Roman" w:eastAsia="宋体" w:cs="Times New Roman"/>
                                <w:b/>
                                <w:bCs/>
                                <w:color w:val="auto"/>
                                <w:lang w:val="en-US" w:eastAsia="zh-CN"/>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pt;margin-top:199.9pt;height:26.5pt;width:48.95pt;z-index:251667456;mso-width-relative:page;mso-height-relative:page;" filled="f" stroked="f" coordsize="21600,21600" o:gfxdata="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rwH2x2wAAAAsBAAAPAAAAAAAAAAEA&#10;IAAAACIAAABkcnMvZG93bnJldi54bWxQSwECFAAUAAAACACHTuJAXPz9R0UCAABzBAAADgAAAAAA&#10;AAABACAAAAAqAQAAZHJzL2Uyb0RvYy54bWxQSwUGAAAAAAYABgBZAQAA4QUAAAAA&#10;">
                <v:fill on="f" focussize="0,0"/>
                <v:stroke on="f" weight="0.5pt"/>
                <v:imagedata o:title=""/>
                <o:lock v:ext="edit" aspectratio="f"/>
                <v:textbox>
                  <w:txbxContent>
                    <w:p>
                      <w:pPr>
                        <w:rPr>
                          <w:rFonts w:hint="default" w:eastAsia="宋体"/>
                          <w:color w:val="FFFF00"/>
                          <w:lang w:val="en-US" w:eastAsia="zh-CN"/>
                        </w:rPr>
                      </w:pPr>
                      <w:r>
                        <w:rPr>
                          <w:rFonts w:hint="eastAsia" w:ascii="宋体" w:hAnsi="宋体" w:eastAsia="宋体" w:cs="宋体"/>
                          <w:color w:val="FFFF00"/>
                        </w:rPr>
                        <w:t>█</w:t>
                      </w:r>
                      <w:r>
                        <w:rPr>
                          <w:rFonts w:hint="default" w:ascii="Times New Roman" w:hAnsi="Times New Roman" w:eastAsia="宋体" w:cs="Times New Roman"/>
                          <w:b/>
                          <w:bCs/>
                          <w:color w:val="auto"/>
                          <w:lang w:val="en-US" w:eastAsia="zh-CN"/>
                        </w:rPr>
                        <w:t>T</w:t>
                      </w:r>
                      <w:r>
                        <w:rPr>
                          <w:rFonts w:hint="eastAsia" w:ascii="Times New Roman" w:hAnsi="Times New Roman" w:eastAsia="宋体" w:cs="Times New Roman"/>
                          <w:b/>
                          <w:bCs/>
                          <w:color w:val="auto"/>
                          <w:lang w:val="en-US" w:eastAsia="zh-CN"/>
                        </w:rPr>
                        <w:t>0</w:t>
                      </w:r>
                    </w:p>
                  </w:txbxContent>
                </v:textbox>
              </v:shape>
            </w:pict>
          </mc:Fallback>
        </mc:AlternateContent>
      </w:r>
    </w:p>
    <w:p>
      <w:pPr>
        <w:widowControl/>
        <w:jc w:val="center"/>
        <w:rPr>
          <w:rFonts w:ascii="Times New Roman" w:hAnsi="Times New Roman"/>
          <w:snapToGrid w:val="0"/>
          <w:kern w:val="0"/>
          <w:sz w:val="24"/>
          <w:szCs w:val="24"/>
        </w:rPr>
        <w:sectPr>
          <w:pgSz w:w="16838" w:h="11906" w:orient="landscape"/>
          <w:pgMar w:top="720" w:right="720" w:bottom="720" w:left="720" w:header="851" w:footer="992" w:gutter="0"/>
          <w:cols w:space="425" w:num="1"/>
          <w:docGrid w:type="lines" w:linePitch="312" w:charSpace="0"/>
        </w:sectPr>
      </w:pPr>
      <w:r>
        <w:rPr>
          <w:rFonts w:hint="eastAsia" w:ascii="Times New Roman" w:hAnsi="Times New Roman"/>
          <w:b/>
          <w:snapToGrid w:val="0"/>
          <w:kern w:val="0"/>
          <w:sz w:val="24"/>
          <w:szCs w:val="24"/>
        </w:rPr>
        <w:t>图6.2-1</w:t>
      </w:r>
      <w:r>
        <w:rPr>
          <w:rFonts w:ascii="Times New Roman" w:hAnsi="Times New Roman"/>
          <w:b/>
          <w:snapToGrid w:val="0"/>
          <w:kern w:val="0"/>
          <w:sz w:val="24"/>
          <w:szCs w:val="24"/>
        </w:rPr>
        <w:t xml:space="preserve"> </w:t>
      </w:r>
      <w:r>
        <w:rPr>
          <w:rFonts w:hint="eastAsia" w:ascii="Times New Roman" w:hAnsi="Times New Roman"/>
          <w:b/>
          <w:snapToGrid w:val="0"/>
          <w:kern w:val="0"/>
          <w:sz w:val="24"/>
          <w:szCs w:val="24"/>
          <w:lang w:eastAsia="zh-CN"/>
        </w:rPr>
        <w:t>江苏奥斯佳材料科技有限公司</w:t>
      </w:r>
      <w:r>
        <w:rPr>
          <w:rFonts w:hint="eastAsia" w:ascii="Times New Roman" w:hAnsi="Times New Roman"/>
          <w:b/>
          <w:snapToGrid w:val="0"/>
          <w:kern w:val="0"/>
          <w:sz w:val="24"/>
          <w:szCs w:val="24"/>
        </w:rPr>
        <w:t>土壤监测点位图</w:t>
      </w:r>
    </w:p>
    <w:p>
      <w:pPr>
        <w:keepNext/>
        <w:keepLines/>
        <w:spacing w:line="500" w:lineRule="exact"/>
        <w:outlineLvl w:val="2"/>
        <w:rPr>
          <w:rFonts w:ascii="Times New Roman" w:hAnsi="Times New Roman"/>
          <w:b/>
          <w:bCs/>
          <w:sz w:val="24"/>
          <w:szCs w:val="32"/>
        </w:rPr>
      </w:pPr>
      <w:bookmarkStart w:id="139" w:name="_Toc13852939"/>
      <w:bookmarkStart w:id="140" w:name="_Toc531519945"/>
      <w:bookmarkStart w:id="141" w:name="_Toc13847397"/>
      <w:bookmarkStart w:id="142" w:name="_Toc534203198"/>
      <w:bookmarkStart w:id="143" w:name="_Toc31484"/>
      <w:r>
        <w:rPr>
          <w:rFonts w:hint="eastAsia" w:ascii="Times New Roman" w:hAnsi="Times New Roman"/>
          <w:b/>
          <w:bCs/>
          <w:sz w:val="24"/>
          <w:szCs w:val="32"/>
        </w:rPr>
        <w:t>6.2</w:t>
      </w:r>
      <w:r>
        <w:rPr>
          <w:rFonts w:ascii="Times New Roman" w:hAnsi="Times New Roman"/>
          <w:b/>
          <w:bCs/>
          <w:sz w:val="24"/>
          <w:szCs w:val="32"/>
        </w:rPr>
        <w:t>.</w:t>
      </w:r>
      <w:r>
        <w:rPr>
          <w:rFonts w:hint="eastAsia" w:ascii="Times New Roman" w:hAnsi="Times New Roman"/>
          <w:b/>
          <w:bCs/>
          <w:sz w:val="24"/>
          <w:szCs w:val="32"/>
        </w:rPr>
        <w:t>2土壤气监测</w:t>
      </w:r>
      <w:bookmarkEnd w:id="139"/>
      <w:bookmarkEnd w:id="140"/>
      <w:bookmarkEnd w:id="141"/>
      <w:bookmarkEnd w:id="142"/>
      <w:bookmarkEnd w:id="143"/>
    </w:p>
    <w:p>
      <w:pPr>
        <w:widowControl/>
        <w:spacing w:line="500" w:lineRule="exact"/>
        <w:rPr>
          <w:rFonts w:ascii="Times New Roman" w:hAnsi="Times New Roman"/>
          <w:snapToGrid w:val="0"/>
          <w:kern w:val="0"/>
          <w:sz w:val="24"/>
          <w:szCs w:val="24"/>
        </w:rPr>
      </w:pPr>
      <w:r>
        <w:rPr>
          <w:rFonts w:ascii="Times New Roman" w:hAnsi="Times New Roman"/>
          <w:snapToGrid w:val="0"/>
          <w:kern w:val="0"/>
          <w:sz w:val="24"/>
          <w:szCs w:val="24"/>
        </w:rPr>
        <w:tab/>
      </w:r>
      <w:r>
        <w:rPr>
          <w:rFonts w:hint="eastAsia" w:ascii="Times New Roman" w:hAnsi="Times New Roman"/>
          <w:snapToGrid w:val="0"/>
          <w:kern w:val="0"/>
          <w:sz w:val="24"/>
          <w:szCs w:val="24"/>
        </w:rPr>
        <w:t>《在产企业土壤及地下水自行监测技术指南》（征求意见稿）（以下简称“指南”）中在土壤自行监测部分针对土壤固相和气相均提出了检测要求，针对土壤气相部分（土壤气监测），重点关注挥发性有机污染物的泄露和污染。</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指南中认为挥发性有机物是污染土壤中的典型污染物之一，通常情况下，污染土壤中的VOCs除直接吸附于土壤介质或溶解于地下水介质中外，通过相分配作用，部分VOCs还将赋存于土壤孔隙气体中（即土壤气体中），根据目前国外对于污染场地VOCs呼吸暴露风险评估方法研究发展趋势分析可知，未来VOCs呼吸暴露的定量健康风险评估及其风险管理将主要基于土壤气体中VOCs的浓度，土壤和地下水中VOCs的浓度将仅用于初步的风险筛选。但目前国家关于土壤气采样技术及污染物筛选值等方面的规定还不够完善，因此指南暂时建议自行监测企业针对特征污染物包括挥发性有机物的污染源，逐步推进土壤气监测工作，在可能存在挥发性有机物污染的重点设施周边或重点区域设置至少1个土壤气监测井。</w:t>
      </w:r>
    </w:p>
    <w:p>
      <w:pPr>
        <w:widowControl/>
        <w:spacing w:line="500" w:lineRule="exact"/>
        <w:rPr>
          <w:rFonts w:ascii="Times New Roman" w:hAnsi="Times New Roman"/>
          <w:snapToGrid w:val="0"/>
          <w:kern w:val="0"/>
          <w:sz w:val="24"/>
          <w:szCs w:val="24"/>
        </w:rPr>
      </w:pPr>
      <w:r>
        <w:rPr>
          <w:rFonts w:ascii="Times New Roman" w:hAnsi="Times New Roman"/>
          <w:snapToGrid w:val="0"/>
          <w:kern w:val="0"/>
          <w:sz w:val="24"/>
          <w:szCs w:val="24"/>
        </w:rPr>
        <w:tab/>
      </w:r>
      <w:r>
        <w:rPr>
          <w:rFonts w:hint="eastAsia" w:ascii="Times New Roman" w:hAnsi="Times New Roman"/>
          <w:snapToGrid w:val="0"/>
          <w:kern w:val="0"/>
          <w:sz w:val="24"/>
          <w:szCs w:val="24"/>
        </w:rPr>
        <w:t>考虑到</w:t>
      </w:r>
      <w:r>
        <w:rPr>
          <w:rFonts w:hint="eastAsia" w:ascii="Times New Roman" w:hAnsi="Times New Roman"/>
          <w:snapToGrid w:val="0"/>
          <w:kern w:val="0"/>
          <w:sz w:val="24"/>
          <w:szCs w:val="24"/>
          <w:lang w:val="en-US" w:eastAsia="zh-CN"/>
        </w:rPr>
        <w:t>企业靠近长江</w:t>
      </w:r>
      <w:r>
        <w:rPr>
          <w:rFonts w:hint="eastAsia" w:ascii="Times New Roman" w:hAnsi="Times New Roman"/>
          <w:snapToGrid w:val="0"/>
          <w:kern w:val="0"/>
          <w:sz w:val="24"/>
          <w:szCs w:val="24"/>
        </w:rPr>
        <w:t>，整体地下水位较浅，地下水含量丰富，对比土壤气采样规范，可能不具备实际采样条件。针对</w:t>
      </w:r>
      <w:r>
        <w:rPr>
          <w:rFonts w:hint="eastAsia" w:ascii="Times New Roman" w:hAnsi="Times New Roman"/>
          <w:snapToGrid w:val="0"/>
          <w:kern w:val="0"/>
          <w:sz w:val="24"/>
          <w:szCs w:val="24"/>
          <w:lang w:eastAsia="zh-CN"/>
        </w:rPr>
        <w:t>江苏奥斯佳材料科技有限公司</w:t>
      </w:r>
      <w:r>
        <w:rPr>
          <w:rFonts w:hint="eastAsia" w:ascii="Times New Roman" w:hAnsi="Times New Roman"/>
          <w:snapToGrid w:val="0"/>
          <w:kern w:val="0"/>
          <w:sz w:val="24"/>
          <w:szCs w:val="24"/>
        </w:rPr>
        <w:t>第一年度土壤与地下水自行监测，优先关注土壤和地下水中的有机污染物浓度情况。根据第一年度土壤与地下水自行监测结果，结合厂区内实际水文地质条件，在后续自行监测中再予以考虑针对厂区土壤气的采样和监测。</w:t>
      </w:r>
    </w:p>
    <w:p>
      <w:pPr>
        <w:keepNext/>
        <w:keepLines/>
        <w:widowControl/>
        <w:spacing w:before="156" w:beforeLines="50" w:after="156" w:afterLines="50" w:line="500" w:lineRule="exact"/>
        <w:contextualSpacing/>
        <w:outlineLvl w:val="1"/>
        <w:rPr>
          <w:rFonts w:ascii="Times New Roman" w:hAnsi="Times New Roman"/>
          <w:snapToGrid w:val="0"/>
          <w:kern w:val="0"/>
          <w:sz w:val="24"/>
          <w:szCs w:val="24"/>
        </w:rPr>
      </w:pPr>
      <w:bookmarkStart w:id="144" w:name="_Toc534203199"/>
      <w:bookmarkStart w:id="145" w:name="_Toc13847398"/>
      <w:bookmarkStart w:id="146" w:name="_Toc531519946"/>
      <w:bookmarkStart w:id="147" w:name="_Toc3827"/>
      <w:r>
        <w:rPr>
          <w:rFonts w:hint="eastAsia" w:ascii="Times New Roman" w:hAnsi="Times New Roman"/>
          <w:b/>
          <w:bCs/>
          <w:sz w:val="28"/>
          <w:szCs w:val="32"/>
        </w:rPr>
        <w:t>6.3地下水监测</w:t>
      </w:r>
      <w:bookmarkEnd w:id="144"/>
      <w:bookmarkEnd w:id="145"/>
      <w:bookmarkEnd w:id="146"/>
      <w:bookmarkEnd w:id="147"/>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结合地下水监测井点位布设原则，拟在重点区域与设施的地下水下游向布设地下水井。</w:t>
      </w:r>
      <w:r>
        <w:rPr>
          <w:rFonts w:hint="eastAsia" w:ascii="Times New Roman" w:hAnsi="Times New Roman"/>
          <w:snapToGrid w:val="0"/>
          <w:kern w:val="0"/>
          <w:sz w:val="24"/>
          <w:szCs w:val="24"/>
          <w:lang w:val="en-US" w:eastAsia="zh-CN"/>
        </w:rPr>
        <w:t>参考</w:t>
      </w:r>
      <w:r>
        <w:rPr>
          <w:rFonts w:hint="default" w:ascii="Times New Roman" w:hAnsi="Times New Roman" w:eastAsia="宋体" w:cs="Times New Roman"/>
          <w:b w:val="0"/>
          <w:bCs w:val="0"/>
          <w:sz w:val="24"/>
          <w:szCs w:val="24"/>
          <w:lang w:val="en-US" w:eastAsia="zh-CN"/>
        </w:rPr>
        <w:t>企业在建设之前于2019年11月份委托上海绿然环境信息有限公司，对场地内土壤及地下水进行了初步调查</w:t>
      </w:r>
      <w:r>
        <w:rPr>
          <w:rFonts w:hint="eastAsia" w:ascii="Times New Roman" w:hAnsi="Times New Roman" w:cs="Times New Roman"/>
          <w:b w:val="0"/>
          <w:bCs w:val="0"/>
          <w:sz w:val="24"/>
          <w:szCs w:val="24"/>
          <w:lang w:val="en-US" w:eastAsia="zh-CN"/>
        </w:rPr>
        <w:t>，调查结果为</w:t>
      </w:r>
      <w:r>
        <w:rPr>
          <w:rFonts w:ascii="宋体" w:hAnsi="宋体" w:eastAsia="宋体" w:cs="宋体"/>
          <w:sz w:val="24"/>
          <w:szCs w:val="24"/>
        </w:rPr>
        <w:t>地下水水位走向为自南向北</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故</w:t>
      </w:r>
      <w:r>
        <w:rPr>
          <w:rFonts w:hint="eastAsia" w:ascii="Times New Roman" w:hAnsi="Times New Roman"/>
          <w:snapToGrid w:val="0"/>
          <w:kern w:val="0"/>
          <w:sz w:val="24"/>
          <w:szCs w:val="24"/>
        </w:rPr>
        <w:t>在</w:t>
      </w:r>
      <w:r>
        <w:rPr>
          <w:rFonts w:hint="eastAsia" w:ascii="Times New Roman" w:hAnsi="Times New Roman"/>
          <w:snapToGrid w:val="0"/>
          <w:kern w:val="0"/>
          <w:sz w:val="24"/>
          <w:szCs w:val="24"/>
          <w:lang w:val="en-US" w:eastAsia="zh-CN"/>
        </w:rPr>
        <w:t>厂区内重点区域下游方向布置水井点，厂区</w:t>
      </w:r>
      <w:r>
        <w:rPr>
          <w:rFonts w:hint="eastAsia" w:ascii="Times New Roman" w:hAnsi="Times New Roman"/>
          <w:snapToGrid w:val="0"/>
          <w:kern w:val="0"/>
          <w:sz w:val="24"/>
          <w:szCs w:val="24"/>
        </w:rPr>
        <w:t>内共计布设</w:t>
      </w:r>
      <w:r>
        <w:rPr>
          <w:rFonts w:hint="eastAsia" w:ascii="Times New Roman" w:hAnsi="Times New Roman"/>
          <w:snapToGrid w:val="0"/>
          <w:kern w:val="0"/>
          <w:sz w:val="24"/>
          <w:szCs w:val="24"/>
          <w:lang w:val="en-US" w:eastAsia="zh-CN"/>
        </w:rPr>
        <w:t>4</w:t>
      </w:r>
      <w:r>
        <w:rPr>
          <w:rFonts w:hint="eastAsia" w:ascii="Times New Roman" w:hAnsi="Times New Roman"/>
          <w:snapToGrid w:val="0"/>
          <w:kern w:val="0"/>
          <w:sz w:val="24"/>
          <w:szCs w:val="24"/>
        </w:rPr>
        <w:t>个地下水监测井（</w:t>
      </w:r>
      <w:r>
        <w:rPr>
          <w:rFonts w:hint="eastAsia" w:ascii="Times New Roman" w:hAnsi="Times New Roman"/>
          <w:snapToGrid w:val="0"/>
          <w:kern w:val="0"/>
          <w:sz w:val="24"/>
          <w:szCs w:val="24"/>
          <w:lang w:val="en-US" w:eastAsia="zh-CN"/>
        </w:rPr>
        <w:t>D1</w:t>
      </w:r>
      <w:r>
        <w:rPr>
          <w:rFonts w:ascii="Times New Roman" w:hAnsi="Times New Roman"/>
          <w:snapToGrid w:val="0"/>
          <w:kern w:val="0"/>
          <w:sz w:val="24"/>
          <w:szCs w:val="24"/>
        </w:rPr>
        <w:t>~</w:t>
      </w:r>
      <w:r>
        <w:rPr>
          <w:rFonts w:hint="eastAsia" w:ascii="Times New Roman" w:hAnsi="Times New Roman"/>
          <w:snapToGrid w:val="0"/>
          <w:kern w:val="0"/>
          <w:sz w:val="24"/>
          <w:szCs w:val="24"/>
          <w:lang w:val="en-US" w:eastAsia="zh-CN"/>
        </w:rPr>
        <w:t>D4</w:t>
      </w:r>
      <w:r>
        <w:rPr>
          <w:rFonts w:hint="eastAsia" w:ascii="Times New Roman" w:hAnsi="Times New Roman"/>
          <w:snapToGrid w:val="0"/>
          <w:kern w:val="0"/>
          <w:sz w:val="24"/>
          <w:szCs w:val="24"/>
        </w:rPr>
        <w:t>），地下水监测井位置如图6.3-所示。同时在厂区外布设地下水对照点位1个，作为本区域的地下水对照点，地下水采样深度与厂区内地下水深度保持一致。</w:t>
      </w:r>
    </w:p>
    <w:p>
      <w:pPr>
        <w:widowControl/>
        <w:spacing w:line="500" w:lineRule="exact"/>
        <w:rPr>
          <w:rFonts w:ascii="Times New Roman" w:hAnsi="Times New Roman"/>
          <w:snapToGrid w:val="0"/>
          <w:kern w:val="0"/>
          <w:sz w:val="24"/>
          <w:szCs w:val="24"/>
        </w:rPr>
      </w:pPr>
      <w:r>
        <w:rPr>
          <w:rFonts w:ascii="Times New Roman" w:hAnsi="Times New Roman"/>
          <w:snapToGrid w:val="0"/>
          <w:kern w:val="0"/>
          <w:sz w:val="24"/>
          <w:szCs w:val="24"/>
        </w:rPr>
        <w:tab/>
      </w:r>
      <w:r>
        <w:rPr>
          <w:rFonts w:hint="eastAsia" w:ascii="Times New Roman" w:hAnsi="Times New Roman"/>
          <w:snapToGrid w:val="0"/>
          <w:kern w:val="0"/>
          <w:sz w:val="24"/>
          <w:szCs w:val="24"/>
          <w:lang w:val="en-US" w:eastAsia="zh-CN"/>
        </w:rPr>
        <w:t>本次自行监测为首年监测，因此建立长期监测井，</w:t>
      </w:r>
      <w:r>
        <w:rPr>
          <w:rFonts w:hint="eastAsia" w:ascii="Times New Roman" w:hAnsi="Times New Roman"/>
          <w:snapToGrid w:val="0"/>
          <w:kern w:val="0"/>
          <w:sz w:val="24"/>
          <w:szCs w:val="24"/>
        </w:rPr>
        <w:t>原则上地下水监测以调查第一含水层（潜水）为主</w:t>
      </w:r>
      <w:r>
        <w:rPr>
          <w:rFonts w:hint="eastAsia" w:ascii="Times New Roman" w:hAnsi="Times New Roman"/>
          <w:snapToGrid w:val="0"/>
          <w:kern w:val="0"/>
          <w:sz w:val="24"/>
          <w:szCs w:val="24"/>
          <w:lang w:eastAsia="zh-CN"/>
        </w:rPr>
        <w:t>，</w:t>
      </w:r>
      <w:r>
        <w:rPr>
          <w:rFonts w:hint="eastAsia" w:ascii="Times New Roman" w:hAnsi="Times New Roman"/>
          <w:snapToGrid w:val="0"/>
          <w:kern w:val="0"/>
          <w:sz w:val="24"/>
          <w:szCs w:val="24"/>
          <w:lang w:val="en-US" w:eastAsia="zh-CN"/>
        </w:rPr>
        <w:t>考虑到地下水的长期监测，故本次</w:t>
      </w:r>
      <w:r>
        <w:rPr>
          <w:rFonts w:hint="eastAsia" w:ascii="Times New Roman" w:hAnsi="Times New Roman"/>
          <w:snapToGrid w:val="0"/>
          <w:kern w:val="0"/>
          <w:sz w:val="24"/>
          <w:szCs w:val="24"/>
        </w:rPr>
        <w:t>地下水监测井深</w:t>
      </w:r>
      <w:r>
        <w:rPr>
          <w:rFonts w:hint="eastAsia" w:ascii="Times New Roman" w:hAnsi="Times New Roman"/>
          <w:snapToGrid w:val="0"/>
          <w:kern w:val="0"/>
          <w:sz w:val="24"/>
          <w:szCs w:val="24"/>
          <w:lang w:val="en-US" w:eastAsia="zh-CN"/>
        </w:rPr>
        <w:t>为</w:t>
      </w:r>
      <w:r>
        <w:rPr>
          <w:rFonts w:hint="eastAsia" w:ascii="Times New Roman" w:hAnsi="Times New Roman"/>
          <w:snapToGrid w:val="0"/>
          <w:kern w:val="0"/>
          <w:sz w:val="24"/>
          <w:szCs w:val="24"/>
        </w:rPr>
        <w:t>6m，各点位所属区域和临近重点设施如表6.3-1所示。</w:t>
      </w:r>
    </w:p>
    <w:p>
      <w:pPr>
        <w:jc w:val="center"/>
        <w:rPr>
          <w:rFonts w:ascii="Times New Roman" w:hAnsi="Times New Roman"/>
          <w:b/>
          <w:sz w:val="24"/>
          <w:szCs w:val="28"/>
        </w:rPr>
      </w:pPr>
      <w:r>
        <w:rPr>
          <w:rFonts w:hint="eastAsia" w:ascii="Times New Roman" w:hAnsi="Times New Roman"/>
          <w:b/>
          <w:sz w:val="24"/>
          <w:szCs w:val="28"/>
        </w:rPr>
        <w:t>表6.3-1</w:t>
      </w:r>
      <w:r>
        <w:rPr>
          <w:rFonts w:ascii="Times New Roman" w:hAnsi="Times New Roman"/>
          <w:b/>
          <w:sz w:val="24"/>
          <w:szCs w:val="28"/>
        </w:rPr>
        <w:t xml:space="preserve"> 地下水自行监测点位</w:t>
      </w:r>
    </w:p>
    <w:tbl>
      <w:tblPr>
        <w:tblStyle w:val="18"/>
        <w:tblW w:w="85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4"/>
        <w:gridCol w:w="1377"/>
        <w:gridCol w:w="4570"/>
        <w:gridCol w:w="15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24" w:type="dxa"/>
            <w:vAlign w:val="center"/>
          </w:tcPr>
          <w:p>
            <w:pPr>
              <w:jc w:val="center"/>
              <w:rPr>
                <w:rFonts w:ascii="Times New Roman" w:hAnsi="Times New Roman"/>
                <w:b/>
                <w:szCs w:val="21"/>
              </w:rPr>
            </w:pPr>
            <w:r>
              <w:rPr>
                <w:rFonts w:ascii="Times New Roman" w:hAnsi="Times New Roman"/>
                <w:b/>
                <w:szCs w:val="21"/>
              </w:rPr>
              <w:t>点位</w:t>
            </w:r>
          </w:p>
        </w:tc>
        <w:tc>
          <w:tcPr>
            <w:tcW w:w="1377" w:type="dxa"/>
            <w:vAlign w:val="center"/>
          </w:tcPr>
          <w:p>
            <w:pPr>
              <w:jc w:val="center"/>
              <w:rPr>
                <w:rFonts w:ascii="Times New Roman" w:hAnsi="Times New Roman"/>
                <w:b/>
                <w:szCs w:val="21"/>
              </w:rPr>
            </w:pPr>
            <w:r>
              <w:rPr>
                <w:rFonts w:ascii="Times New Roman" w:hAnsi="Times New Roman"/>
                <w:b/>
                <w:szCs w:val="21"/>
              </w:rPr>
              <w:t>重点区域</w:t>
            </w:r>
          </w:p>
        </w:tc>
        <w:tc>
          <w:tcPr>
            <w:tcW w:w="4570" w:type="dxa"/>
            <w:vAlign w:val="center"/>
          </w:tcPr>
          <w:p>
            <w:pPr>
              <w:jc w:val="center"/>
              <w:rPr>
                <w:rFonts w:ascii="Times New Roman" w:hAnsi="Times New Roman"/>
                <w:b/>
                <w:szCs w:val="21"/>
              </w:rPr>
            </w:pPr>
            <w:r>
              <w:rPr>
                <w:rFonts w:ascii="Times New Roman" w:hAnsi="Times New Roman"/>
                <w:b/>
                <w:szCs w:val="21"/>
              </w:rPr>
              <w:t>附近重点设施</w:t>
            </w:r>
          </w:p>
        </w:tc>
        <w:tc>
          <w:tcPr>
            <w:tcW w:w="1549" w:type="dxa"/>
            <w:vAlign w:val="center"/>
          </w:tcPr>
          <w:p>
            <w:pPr>
              <w:jc w:val="center"/>
              <w:rPr>
                <w:rFonts w:hint="default" w:ascii="Times New Roman" w:hAnsi="Times New Roman" w:eastAsia="宋体"/>
                <w:b/>
                <w:szCs w:val="21"/>
                <w:lang w:val="en-US" w:eastAsia="zh-CN"/>
              </w:rPr>
            </w:pPr>
            <w:r>
              <w:rPr>
                <w:rFonts w:hint="eastAsia" w:ascii="Times New Roman" w:hAnsi="Times New Roman"/>
                <w:b/>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D1</w:t>
            </w:r>
          </w:p>
        </w:tc>
        <w:tc>
          <w:tcPr>
            <w:tcW w:w="1377"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丙类仓库</w:t>
            </w:r>
          </w:p>
        </w:tc>
        <w:tc>
          <w:tcPr>
            <w:tcW w:w="4570" w:type="dxa"/>
            <w:vAlign w:val="center"/>
          </w:tcPr>
          <w:p>
            <w:pPr>
              <w:jc w:val="center"/>
              <w:rPr>
                <w:rFonts w:ascii="Times New Roman" w:hAnsi="Times New Roman"/>
                <w:szCs w:val="21"/>
              </w:rPr>
            </w:pPr>
            <w:r>
              <w:rPr>
                <w:rFonts w:hint="eastAsia" w:ascii="Times New Roman" w:hAnsi="Times New Roman"/>
                <w:szCs w:val="21"/>
                <w:lang w:val="en-US" w:eastAsia="zh-CN"/>
              </w:rPr>
              <w:t>丙类仓库、丙类废水收集池</w:t>
            </w:r>
          </w:p>
        </w:tc>
        <w:tc>
          <w:tcPr>
            <w:tcW w:w="1549"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监测点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D2</w:t>
            </w:r>
          </w:p>
        </w:tc>
        <w:tc>
          <w:tcPr>
            <w:tcW w:w="1377"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罐区</w:t>
            </w:r>
          </w:p>
        </w:tc>
        <w:tc>
          <w:tcPr>
            <w:tcW w:w="4570" w:type="dxa"/>
            <w:vAlign w:val="center"/>
          </w:tcPr>
          <w:p>
            <w:pPr>
              <w:jc w:val="center"/>
              <w:rPr>
                <w:rFonts w:ascii="Times New Roman" w:hAnsi="Times New Roman"/>
                <w:szCs w:val="21"/>
              </w:rPr>
            </w:pPr>
            <w:r>
              <w:rPr>
                <w:rFonts w:hint="eastAsia" w:ascii="Times New Roman" w:hAnsi="Times New Roman"/>
                <w:szCs w:val="21"/>
                <w:lang w:val="en-US" w:eastAsia="zh-CN"/>
              </w:rPr>
              <w:t>甲类储罐、丙类储罐、罐区收集池</w:t>
            </w:r>
          </w:p>
        </w:tc>
        <w:tc>
          <w:tcPr>
            <w:tcW w:w="1549" w:type="dxa"/>
            <w:vAlign w:val="center"/>
          </w:tcPr>
          <w:p>
            <w:pPr>
              <w:jc w:val="center"/>
              <w:rPr>
                <w:rFonts w:hint="eastAsia" w:ascii="Times New Roman" w:hAnsi="Times New Roman"/>
                <w:szCs w:val="21"/>
                <w:lang w:val="en-US" w:eastAsia="zh-CN"/>
              </w:rPr>
            </w:pPr>
            <w:r>
              <w:rPr>
                <w:rFonts w:hint="eastAsia" w:ascii="Times New Roman" w:hAnsi="Times New Roman"/>
                <w:szCs w:val="21"/>
                <w:lang w:val="en-US" w:eastAsia="zh-CN"/>
              </w:rPr>
              <w:t>监测点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D3</w:t>
            </w:r>
          </w:p>
        </w:tc>
        <w:tc>
          <w:tcPr>
            <w:tcW w:w="1377"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甲类车间</w:t>
            </w:r>
          </w:p>
        </w:tc>
        <w:tc>
          <w:tcPr>
            <w:tcW w:w="4570" w:type="dxa"/>
            <w:vAlign w:val="center"/>
          </w:tcPr>
          <w:p>
            <w:pPr>
              <w:jc w:val="center"/>
              <w:rPr>
                <w:rFonts w:ascii="Times New Roman" w:hAnsi="Times New Roman"/>
                <w:szCs w:val="21"/>
              </w:rPr>
            </w:pPr>
            <w:r>
              <w:rPr>
                <w:rFonts w:hint="eastAsia" w:ascii="Times New Roman" w:hAnsi="Times New Roman"/>
                <w:szCs w:val="21"/>
                <w:lang w:val="en-US" w:eastAsia="zh-CN"/>
              </w:rPr>
              <w:t>车间生产设备、导热油罐、地面废水收集池</w:t>
            </w:r>
          </w:p>
        </w:tc>
        <w:tc>
          <w:tcPr>
            <w:tcW w:w="1549" w:type="dxa"/>
            <w:vAlign w:val="center"/>
          </w:tcPr>
          <w:p>
            <w:pPr>
              <w:jc w:val="center"/>
              <w:rPr>
                <w:rFonts w:hint="eastAsia" w:ascii="Times New Roman" w:hAnsi="Times New Roman"/>
                <w:szCs w:val="21"/>
                <w:lang w:val="en-US" w:eastAsia="zh-CN"/>
              </w:rPr>
            </w:pPr>
            <w:r>
              <w:rPr>
                <w:rFonts w:hint="eastAsia" w:ascii="Times New Roman" w:hAnsi="Times New Roman"/>
                <w:szCs w:val="21"/>
                <w:lang w:val="en-US" w:eastAsia="zh-CN"/>
              </w:rPr>
              <w:t>监测点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D4</w:t>
            </w:r>
          </w:p>
        </w:tc>
        <w:tc>
          <w:tcPr>
            <w:tcW w:w="1377"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甲类仓库</w:t>
            </w:r>
          </w:p>
        </w:tc>
        <w:tc>
          <w:tcPr>
            <w:tcW w:w="4570" w:type="dxa"/>
            <w:vAlign w:val="center"/>
          </w:tcPr>
          <w:p>
            <w:pPr>
              <w:jc w:val="center"/>
              <w:rPr>
                <w:rFonts w:ascii="Times New Roman" w:hAnsi="Times New Roman"/>
                <w:szCs w:val="21"/>
              </w:rPr>
            </w:pPr>
            <w:r>
              <w:rPr>
                <w:rFonts w:hint="eastAsia" w:ascii="Times New Roman" w:hAnsi="Times New Roman"/>
                <w:szCs w:val="21"/>
                <w:lang w:val="en-US" w:eastAsia="zh-CN"/>
              </w:rPr>
              <w:t>危废暂存仓库、甲类仓库、废水收集池</w:t>
            </w:r>
          </w:p>
        </w:tc>
        <w:tc>
          <w:tcPr>
            <w:tcW w:w="1549" w:type="dxa"/>
            <w:vAlign w:val="center"/>
          </w:tcPr>
          <w:p>
            <w:pPr>
              <w:jc w:val="center"/>
              <w:rPr>
                <w:rFonts w:hint="eastAsia" w:ascii="Times New Roman" w:hAnsi="Times New Roman"/>
                <w:szCs w:val="21"/>
                <w:lang w:val="en-US" w:eastAsia="zh-CN"/>
              </w:rPr>
            </w:pPr>
            <w:r>
              <w:rPr>
                <w:rFonts w:hint="eastAsia" w:ascii="Times New Roman" w:hAnsi="Times New Roman"/>
                <w:szCs w:val="21"/>
                <w:lang w:val="en-US" w:eastAsia="zh-CN"/>
              </w:rPr>
              <w:t>监测点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4"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D0</w:t>
            </w:r>
          </w:p>
        </w:tc>
        <w:tc>
          <w:tcPr>
            <w:tcW w:w="1377"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w:t>
            </w:r>
          </w:p>
        </w:tc>
        <w:tc>
          <w:tcPr>
            <w:tcW w:w="4570"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w:t>
            </w:r>
          </w:p>
        </w:tc>
        <w:tc>
          <w:tcPr>
            <w:tcW w:w="1549" w:type="dxa"/>
            <w:vAlign w:val="center"/>
          </w:tcPr>
          <w:p>
            <w:pPr>
              <w:jc w:val="center"/>
              <w:rPr>
                <w:rFonts w:hint="default" w:ascii="Times New Roman" w:hAnsi="Times New Roman"/>
                <w:szCs w:val="21"/>
                <w:lang w:val="en-US" w:eastAsia="zh-CN"/>
              </w:rPr>
            </w:pPr>
            <w:r>
              <w:rPr>
                <w:rFonts w:hint="eastAsia" w:ascii="Times New Roman" w:hAnsi="Times New Roman"/>
                <w:szCs w:val="21"/>
                <w:lang w:val="en-US" w:eastAsia="zh-CN"/>
              </w:rPr>
              <w:t>对照点</w:t>
            </w:r>
          </w:p>
        </w:tc>
      </w:tr>
    </w:tbl>
    <w:p>
      <w:pPr>
        <w:widowControl/>
        <w:rPr>
          <w:rFonts w:ascii="Times New Roman" w:hAnsi="Times New Roman"/>
          <w:snapToGrid w:val="0"/>
          <w:kern w:val="0"/>
          <w:sz w:val="24"/>
          <w:szCs w:val="24"/>
        </w:rPr>
      </w:pPr>
    </w:p>
    <w:p>
      <w:pPr>
        <w:widowControl/>
        <w:spacing w:line="500" w:lineRule="exact"/>
        <w:rPr>
          <w:rFonts w:hint="eastAsia" w:ascii="Times New Roman" w:hAnsi="Times New Roman"/>
          <w:snapToGrid w:val="0"/>
          <w:kern w:val="0"/>
          <w:sz w:val="24"/>
          <w:szCs w:val="24"/>
          <w:lang w:val="en-US" w:eastAsia="zh-CN"/>
        </w:rPr>
      </w:pPr>
      <w:r>
        <w:rPr>
          <w:rFonts w:hint="eastAsia" w:ascii="Times New Roman" w:hAnsi="Times New Roman"/>
          <w:snapToGrid w:val="0"/>
          <w:kern w:val="0"/>
          <w:sz w:val="24"/>
          <w:szCs w:val="24"/>
          <w:lang w:val="en-US" w:eastAsia="zh-CN"/>
        </w:rPr>
        <w:t>企业地块初步调查水位流向图见图6.3-1，地下水监测图见6.3-2。</w:t>
      </w:r>
    </w:p>
    <w:p>
      <w:r>
        <w:drawing>
          <wp:inline distT="0" distB="0" distL="114300" distR="114300">
            <wp:extent cx="2374900" cy="2484120"/>
            <wp:effectExtent l="0" t="0" r="0" b="508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21"/>
                    <a:stretch>
                      <a:fillRect/>
                    </a:stretch>
                  </pic:blipFill>
                  <pic:spPr>
                    <a:xfrm>
                      <a:off x="0" y="0"/>
                      <a:ext cx="2374900" cy="24841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811145" cy="2016125"/>
            <wp:effectExtent l="0" t="0" r="8255" b="317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22"/>
                    <a:stretch>
                      <a:fillRect/>
                    </a:stretch>
                  </pic:blipFill>
                  <pic:spPr>
                    <a:xfrm>
                      <a:off x="0" y="0"/>
                      <a:ext cx="2811145" cy="2016125"/>
                    </a:xfrm>
                    <a:prstGeom prst="rect">
                      <a:avLst/>
                    </a:prstGeom>
                    <a:noFill/>
                    <a:ln>
                      <a:noFill/>
                    </a:ln>
                  </pic:spPr>
                </pic:pic>
              </a:graphicData>
            </a:graphic>
          </wp:inline>
        </w:drawing>
      </w:r>
    </w:p>
    <w:p>
      <w:pPr>
        <w:pStyle w:val="16"/>
        <w:rPr>
          <w:rFonts w:hint="eastAsia" w:ascii="Times New Roman" w:hAnsi="Times New Roman" w:eastAsia="宋体" w:cs="Times New Roman"/>
          <w:b/>
          <w:bCs w:val="0"/>
          <w:snapToGrid w:val="0"/>
          <w:kern w:val="0"/>
          <w:sz w:val="24"/>
          <w:szCs w:val="24"/>
          <w:lang w:val="en-US" w:eastAsia="zh-CN" w:bidi="ar-SA"/>
        </w:rPr>
      </w:pPr>
      <w:bookmarkStart w:id="148" w:name="_Toc7304"/>
      <w:r>
        <w:rPr>
          <w:rFonts w:hint="eastAsia" w:ascii="Times New Roman" w:hAnsi="Times New Roman" w:eastAsia="宋体" w:cs="Times New Roman"/>
          <w:b/>
          <w:bCs w:val="0"/>
          <w:snapToGrid w:val="0"/>
          <w:kern w:val="0"/>
          <w:sz w:val="24"/>
          <w:szCs w:val="24"/>
          <w:lang w:val="en-US" w:eastAsia="zh-CN" w:bidi="ar-SA"/>
        </w:rPr>
        <w:t>图6.3-1 企业地块初步调查水位流向图</w:t>
      </w:r>
      <w:bookmarkEnd w:id="148"/>
    </w:p>
    <w:p>
      <w:pPr>
        <w:rPr>
          <w:rFonts w:hint="eastAsia"/>
          <w:lang w:val="en-US" w:eastAsia="zh-CN"/>
        </w:rPr>
        <w:sectPr>
          <w:pgSz w:w="11906" w:h="16838"/>
          <w:pgMar w:top="1440" w:right="1800" w:bottom="1440" w:left="1800" w:header="851" w:footer="992" w:gutter="0"/>
          <w:cols w:space="425" w:num="1"/>
          <w:docGrid w:type="lines" w:linePitch="312" w:charSpace="0"/>
        </w:sectPr>
      </w:pPr>
    </w:p>
    <w:p>
      <w:pPr>
        <w:widowControl/>
        <w:jc w:val="center"/>
      </w:pPr>
    </w:p>
    <w:p>
      <w:pPr>
        <w:widowControl/>
        <w:jc w:val="center"/>
      </w:pPr>
    </w:p>
    <w:p>
      <w:pPr>
        <w:widowControl/>
        <w:jc w:val="center"/>
        <w:rPr>
          <w:rFonts w:ascii="Times New Roman" w:hAnsi="Times New Roman"/>
          <w:snapToGrid w:val="0"/>
          <w:kern w:val="0"/>
          <w:sz w:val="24"/>
          <w:szCs w:val="24"/>
        </w:rPr>
      </w:pPr>
      <w:r>
        <w:rPr>
          <w:sz w:val="21"/>
        </w:rPr>
        <mc:AlternateContent>
          <mc:Choice Requires="wps">
            <w:drawing>
              <wp:anchor distT="0" distB="0" distL="114300" distR="114300" simplePos="0" relativeHeight="251684864" behindDoc="0" locked="0" layoutInCell="1" allowOverlap="1">
                <wp:simplePos x="0" y="0"/>
                <wp:positionH relativeFrom="column">
                  <wp:posOffset>1327785</wp:posOffset>
                </wp:positionH>
                <wp:positionV relativeFrom="paragraph">
                  <wp:posOffset>3867150</wp:posOffset>
                </wp:positionV>
                <wp:extent cx="1611630" cy="41211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611630" cy="412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FF00"/>
                                <w:lang w:val="en-US" w:eastAsia="zh-CN"/>
                              </w:rPr>
                            </w:pPr>
                            <w:r>
                              <w:rPr>
                                <w:rFonts w:hint="eastAsia" w:ascii="宋体" w:hAnsi="宋体" w:eastAsia="宋体" w:cs="宋体"/>
                                <w:b/>
                                <w:bCs/>
                                <w:color w:val="FFFF00"/>
                                <w:sz w:val="28"/>
                                <w:szCs w:val="32"/>
                              </w:rPr>
                              <w:t>★</w:t>
                            </w:r>
                            <w:r>
                              <w:rPr>
                                <w:rFonts w:hint="eastAsia" w:ascii="宋体" w:hAnsi="宋体" w:cs="宋体"/>
                                <w:b/>
                                <w:bCs/>
                                <w:color w:val="FFFF00"/>
                                <w:sz w:val="28"/>
                                <w:szCs w:val="32"/>
                                <w:lang w:val="en-US" w:eastAsia="zh-CN"/>
                              </w:rPr>
                              <w:t xml:space="preserve"> </w:t>
                            </w:r>
                            <w:r>
                              <w:rPr>
                                <w:rFonts w:hint="eastAsia" w:ascii="宋体" w:hAnsi="宋体" w:cs="宋体"/>
                                <w:b/>
                                <w:bCs/>
                                <w:color w:val="auto"/>
                                <w:sz w:val="18"/>
                                <w:szCs w:val="18"/>
                                <w:lang w:val="en-US" w:eastAsia="zh-CN"/>
                              </w:rPr>
                              <w:t>地下水监测点位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55pt;margin-top:304.5pt;height:32.45pt;width:126.9pt;z-index:251684864;mso-width-relative:page;mso-height-relative:page;" filled="f" stroked="f" coordsize="21600,21600" o:gfxdata="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&#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c+5+twAAAALAQAADwAAAAAAAAABACAAAAAiAAAA&#10;ZHJzL2Rvd25yZXYueG1sUEsBAhQAFAAAAAgAh07iQP9jdG48AgAAaAQAAA4AAAAAAAAAAQAgAAAA&#10;KwEAAGRycy9lMm9Eb2MueG1sUEsFBgAAAAAGAAYAWQEAANkFAAAAAA==&#10;">
                <v:fill on="f" focussize="0,0"/>
                <v:stroke on="f" weight="0.5pt"/>
                <v:imagedata o:title=""/>
                <o:lock v:ext="edit" aspectratio="f"/>
                <v:textbox>
                  <w:txbxContent>
                    <w:p>
                      <w:pPr>
                        <w:rPr>
                          <w:rFonts w:hint="default" w:eastAsia="宋体"/>
                          <w:color w:val="FFFF00"/>
                          <w:lang w:val="en-US" w:eastAsia="zh-CN"/>
                        </w:rPr>
                      </w:pPr>
                      <w:r>
                        <w:rPr>
                          <w:rFonts w:hint="eastAsia" w:ascii="宋体" w:hAnsi="宋体" w:eastAsia="宋体" w:cs="宋体"/>
                          <w:b/>
                          <w:bCs/>
                          <w:color w:val="FFFF00"/>
                          <w:sz w:val="28"/>
                          <w:szCs w:val="32"/>
                        </w:rPr>
                        <w:t>★</w:t>
                      </w:r>
                      <w:r>
                        <w:rPr>
                          <w:rFonts w:hint="eastAsia" w:ascii="宋体" w:hAnsi="宋体" w:cs="宋体"/>
                          <w:b/>
                          <w:bCs/>
                          <w:color w:val="FFFF00"/>
                          <w:sz w:val="28"/>
                          <w:szCs w:val="32"/>
                          <w:lang w:val="en-US" w:eastAsia="zh-CN"/>
                        </w:rPr>
                        <w:t xml:space="preserve"> </w:t>
                      </w:r>
                      <w:r>
                        <w:rPr>
                          <w:rFonts w:hint="eastAsia" w:ascii="宋体" w:hAnsi="宋体" w:cs="宋体"/>
                          <w:b/>
                          <w:bCs/>
                          <w:color w:val="auto"/>
                          <w:sz w:val="18"/>
                          <w:szCs w:val="18"/>
                          <w:lang w:val="en-US" w:eastAsia="zh-CN"/>
                        </w:rPr>
                        <w:t>地下水监测点位</w:t>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8192135</wp:posOffset>
                </wp:positionH>
                <wp:positionV relativeFrom="paragraph">
                  <wp:posOffset>1187450</wp:posOffset>
                </wp:positionV>
                <wp:extent cx="798830" cy="40005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798830"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FF00"/>
                                <w:lang w:val="en-US" w:eastAsia="zh-CN"/>
                              </w:rPr>
                            </w:pPr>
                            <w:r>
                              <w:rPr>
                                <w:rFonts w:hint="eastAsia" w:ascii="宋体" w:hAnsi="宋体" w:eastAsia="宋体" w:cs="宋体"/>
                                <w:b/>
                                <w:bCs/>
                                <w:color w:val="FFFF00"/>
                                <w:sz w:val="28"/>
                                <w:szCs w:val="32"/>
                              </w:rPr>
                              <w:t>★</w:t>
                            </w:r>
                            <w:r>
                              <w:rPr>
                                <w:rFonts w:hint="default" w:ascii="Times New Roman" w:hAnsi="Times New Roman" w:eastAsia="宋体" w:cs="Times New Roman"/>
                                <w:b/>
                                <w:bCs/>
                                <w:color w:val="auto"/>
                                <w:lang w:val="en-US" w:eastAsia="zh-CN"/>
                              </w:rPr>
                              <w:t>D</w:t>
                            </w:r>
                            <w:r>
                              <w:rPr>
                                <w:rFonts w:hint="eastAsia" w:ascii="Times New Roman" w:hAnsi="Times New Roman" w:cs="Times New Roman"/>
                                <w:b/>
                                <w:bCs/>
                                <w:color w:val="auto"/>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5.05pt;margin-top:93.5pt;height:31.5pt;width:62.9pt;z-index:251683840;mso-width-relative:page;mso-height-relative:page;" filled="f" stroked="f" coordsize="21600,21600" o:gfxdata="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eJPNwAAAANAQAADwAAAAAAAAABACAAAAAiAAAA&#10;ZHJzL2Rvd25yZXYueG1sUEsBAhQAFAAAAAgAh07iQKaCTFg8AgAAZwQAAA4AAAAAAAAAAQAgAAAA&#10;KwEAAGRycy9lMm9Eb2MueG1sUEsFBgAAAAAGAAYAWQEAANkFAAAAAA==&#10;">
                <v:fill on="f" focussize="0,0"/>
                <v:stroke on="f" weight="0.5pt"/>
                <v:imagedata o:title=""/>
                <o:lock v:ext="edit" aspectratio="f"/>
                <v:textbox>
                  <w:txbxContent>
                    <w:p>
                      <w:pPr>
                        <w:rPr>
                          <w:rFonts w:hint="default" w:eastAsia="宋体"/>
                          <w:color w:val="FFFF00"/>
                          <w:lang w:val="en-US" w:eastAsia="zh-CN"/>
                        </w:rPr>
                      </w:pPr>
                      <w:r>
                        <w:rPr>
                          <w:rFonts w:hint="eastAsia" w:ascii="宋体" w:hAnsi="宋体" w:eastAsia="宋体" w:cs="宋体"/>
                          <w:b/>
                          <w:bCs/>
                          <w:color w:val="FFFF00"/>
                          <w:sz w:val="28"/>
                          <w:szCs w:val="32"/>
                        </w:rPr>
                        <w:t>★</w:t>
                      </w:r>
                      <w:r>
                        <w:rPr>
                          <w:rFonts w:hint="default" w:ascii="Times New Roman" w:hAnsi="Times New Roman" w:eastAsia="宋体" w:cs="Times New Roman"/>
                          <w:b/>
                          <w:bCs/>
                          <w:color w:val="auto"/>
                          <w:lang w:val="en-US" w:eastAsia="zh-CN"/>
                        </w:rPr>
                        <w:t>D</w:t>
                      </w:r>
                      <w:r>
                        <w:rPr>
                          <w:rFonts w:hint="eastAsia" w:ascii="Times New Roman" w:hAnsi="Times New Roman" w:cs="Times New Roman"/>
                          <w:b/>
                          <w:bCs/>
                          <w:color w:val="auto"/>
                          <w:lang w:val="en-US" w:eastAsia="zh-CN"/>
                        </w:rPr>
                        <w:t>4</w:t>
                      </w:r>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6941185</wp:posOffset>
                </wp:positionH>
                <wp:positionV relativeFrom="paragraph">
                  <wp:posOffset>1270000</wp:posOffset>
                </wp:positionV>
                <wp:extent cx="798830" cy="40005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798830"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FF00"/>
                                <w:lang w:val="en-US" w:eastAsia="zh-CN"/>
                              </w:rPr>
                            </w:pPr>
                            <w:r>
                              <w:rPr>
                                <w:rFonts w:hint="eastAsia" w:ascii="宋体" w:hAnsi="宋体" w:eastAsia="宋体" w:cs="宋体"/>
                                <w:b/>
                                <w:bCs/>
                                <w:color w:val="FFFF00"/>
                                <w:sz w:val="28"/>
                                <w:szCs w:val="32"/>
                              </w:rPr>
                              <w:t>★</w:t>
                            </w:r>
                            <w:r>
                              <w:rPr>
                                <w:rFonts w:hint="default" w:ascii="Times New Roman" w:hAnsi="Times New Roman" w:eastAsia="宋体" w:cs="Times New Roman"/>
                                <w:b/>
                                <w:bCs/>
                                <w:color w:val="auto"/>
                                <w:lang w:val="en-US" w:eastAsia="zh-CN"/>
                              </w:rPr>
                              <w:t>D</w:t>
                            </w:r>
                            <w:r>
                              <w:rPr>
                                <w:rFonts w:hint="eastAsia" w:ascii="Times New Roman" w:hAnsi="Times New Roman" w:cs="Times New Roman"/>
                                <w:b/>
                                <w:bCs/>
                                <w:color w:val="auto"/>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6.55pt;margin-top:100pt;height:31.5pt;width:62.9pt;z-index:251682816;mso-width-relative:page;mso-height-relative:page;" filled="f" stroked="f" coordsize="21600,21600" o:gfxdata="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&#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jxu5q2wAAAA0BAAAPAAAAAAAAAAEAIAAAACIAAABk&#10;cnMvZG93bnJldi54bWxQSwECFAAUAAAACACHTuJA/P2PsDwCAABnBAAADgAAAAAAAAABACAAAAAq&#10;AQAAZHJzL2Uyb0RvYy54bWxQSwUGAAAAAAYABgBZAQAA2AUAAAAA&#10;">
                <v:fill on="f" focussize="0,0"/>
                <v:stroke on="f" weight="0.5pt"/>
                <v:imagedata o:title=""/>
                <o:lock v:ext="edit" aspectratio="f"/>
                <v:textbox>
                  <w:txbxContent>
                    <w:p>
                      <w:pPr>
                        <w:rPr>
                          <w:rFonts w:hint="default" w:eastAsia="宋体"/>
                          <w:color w:val="FFFF00"/>
                          <w:lang w:val="en-US" w:eastAsia="zh-CN"/>
                        </w:rPr>
                      </w:pPr>
                      <w:r>
                        <w:rPr>
                          <w:rFonts w:hint="eastAsia" w:ascii="宋体" w:hAnsi="宋体" w:eastAsia="宋体" w:cs="宋体"/>
                          <w:b/>
                          <w:bCs/>
                          <w:color w:val="FFFF00"/>
                          <w:sz w:val="28"/>
                          <w:szCs w:val="32"/>
                        </w:rPr>
                        <w:t>★</w:t>
                      </w:r>
                      <w:r>
                        <w:rPr>
                          <w:rFonts w:hint="default" w:ascii="Times New Roman" w:hAnsi="Times New Roman" w:eastAsia="宋体" w:cs="Times New Roman"/>
                          <w:b/>
                          <w:bCs/>
                          <w:color w:val="auto"/>
                          <w:lang w:val="en-US" w:eastAsia="zh-CN"/>
                        </w:rPr>
                        <w:t>D</w:t>
                      </w:r>
                      <w:r>
                        <w:rPr>
                          <w:rFonts w:hint="eastAsia" w:ascii="Times New Roman" w:hAnsi="Times New Roman" w:cs="Times New Roman"/>
                          <w:b/>
                          <w:bCs/>
                          <w:color w:val="auto"/>
                          <w:lang w:val="en-US" w:eastAsia="zh-CN"/>
                        </w:rPr>
                        <w:t>3</w:t>
                      </w:r>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4877435</wp:posOffset>
                </wp:positionH>
                <wp:positionV relativeFrom="paragraph">
                  <wp:posOffset>1308100</wp:posOffset>
                </wp:positionV>
                <wp:extent cx="798830" cy="40005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798830"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FF00"/>
                                <w:lang w:val="en-US" w:eastAsia="zh-CN"/>
                              </w:rPr>
                            </w:pPr>
                            <w:r>
                              <w:rPr>
                                <w:rFonts w:hint="eastAsia" w:ascii="宋体" w:hAnsi="宋体" w:eastAsia="宋体" w:cs="宋体"/>
                                <w:b/>
                                <w:bCs/>
                                <w:color w:val="FFFF00"/>
                                <w:sz w:val="28"/>
                                <w:szCs w:val="32"/>
                              </w:rPr>
                              <w:t>★</w:t>
                            </w:r>
                            <w:r>
                              <w:rPr>
                                <w:rFonts w:hint="default" w:ascii="Times New Roman" w:hAnsi="Times New Roman" w:eastAsia="宋体" w:cs="Times New Roman"/>
                                <w:b/>
                                <w:bCs/>
                                <w:color w:val="auto"/>
                                <w:lang w:val="en-US" w:eastAsia="zh-CN"/>
                              </w:rPr>
                              <w:t>D</w:t>
                            </w:r>
                            <w:r>
                              <w:rPr>
                                <w:rFonts w:hint="eastAsia" w:ascii="Times New Roman" w:hAnsi="Times New Roman" w:cs="Times New Roman"/>
                                <w:b/>
                                <w:bCs/>
                                <w:color w:val="auto"/>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05pt;margin-top:103pt;height:31.5pt;width:62.9pt;z-index:251681792;mso-width-relative:page;mso-height-relative:page;" filled="f" stroked="f" coordsize="21600,21600" o:gfxdata="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&#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XVqVjbAAAACwEAAA8AAAAAAAAAAQAgAAAAIgAAAGRy&#10;cy9kb3ducmV2LnhtbFBLAQIUABQAAAAIAIdO4kBTertSOwIAAGcEAAAOAAAAAAAAAAEAIAAAACoB&#10;AABkcnMvZTJvRG9jLnhtbFBLBQYAAAAABgAGAFkBAADXBQAAAAA=&#10;">
                <v:fill on="f" focussize="0,0"/>
                <v:stroke on="f" weight="0.5pt"/>
                <v:imagedata o:title=""/>
                <o:lock v:ext="edit" aspectratio="f"/>
                <v:textbox>
                  <w:txbxContent>
                    <w:p>
                      <w:pPr>
                        <w:rPr>
                          <w:rFonts w:hint="default" w:eastAsia="宋体"/>
                          <w:color w:val="FFFF00"/>
                          <w:lang w:val="en-US" w:eastAsia="zh-CN"/>
                        </w:rPr>
                      </w:pPr>
                      <w:r>
                        <w:rPr>
                          <w:rFonts w:hint="eastAsia" w:ascii="宋体" w:hAnsi="宋体" w:eastAsia="宋体" w:cs="宋体"/>
                          <w:b/>
                          <w:bCs/>
                          <w:color w:val="FFFF00"/>
                          <w:sz w:val="28"/>
                          <w:szCs w:val="32"/>
                        </w:rPr>
                        <w:t>★</w:t>
                      </w:r>
                      <w:r>
                        <w:rPr>
                          <w:rFonts w:hint="default" w:ascii="Times New Roman" w:hAnsi="Times New Roman" w:eastAsia="宋体" w:cs="Times New Roman"/>
                          <w:b/>
                          <w:bCs/>
                          <w:color w:val="auto"/>
                          <w:lang w:val="en-US" w:eastAsia="zh-CN"/>
                        </w:rPr>
                        <w:t>D</w:t>
                      </w:r>
                      <w:r>
                        <w:rPr>
                          <w:rFonts w:hint="eastAsia" w:ascii="Times New Roman" w:hAnsi="Times New Roman" w:cs="Times New Roman"/>
                          <w:b/>
                          <w:bCs/>
                          <w:color w:val="auto"/>
                          <w:lang w:val="en-US" w:eastAsia="zh-CN"/>
                        </w:rPr>
                        <w:t>2</w:t>
                      </w:r>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3321685</wp:posOffset>
                </wp:positionH>
                <wp:positionV relativeFrom="paragraph">
                  <wp:posOffset>1231900</wp:posOffset>
                </wp:positionV>
                <wp:extent cx="798830" cy="3683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798830" cy="368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FF00"/>
                                <w:lang w:val="en-US" w:eastAsia="zh-CN"/>
                              </w:rPr>
                            </w:pPr>
                            <w:r>
                              <w:rPr>
                                <w:rFonts w:hint="eastAsia" w:ascii="宋体" w:hAnsi="宋体" w:eastAsia="宋体" w:cs="宋体"/>
                                <w:b/>
                                <w:bCs/>
                                <w:color w:val="FFFF00"/>
                                <w:sz w:val="28"/>
                                <w:szCs w:val="32"/>
                              </w:rPr>
                              <w:t>★</w:t>
                            </w:r>
                            <w:r>
                              <w:rPr>
                                <w:rFonts w:hint="default" w:ascii="Times New Roman" w:hAnsi="Times New Roman" w:eastAsia="宋体" w:cs="Times New Roman"/>
                                <w:b/>
                                <w:bCs/>
                                <w:color w:val="auto"/>
                                <w:lang w:val="en-US" w:eastAsia="zh-CN"/>
                              </w:rPr>
                              <w:t>D</w:t>
                            </w:r>
                            <w:r>
                              <w:rPr>
                                <w:rFonts w:hint="eastAsia" w:ascii="Times New Roman" w:hAnsi="Times New Roman" w:cs="Times New Roman"/>
                                <w:b/>
                                <w:bCs/>
                                <w:color w:val="auto"/>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55pt;margin-top:97pt;height:29pt;width:62.9pt;z-index:251680768;mso-width-relative:page;mso-height-relative:page;" filled="f" stroked="f" coordsize="21600,21600" o:gfxdata="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&#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al8J23AAAAAsBAAAPAAAAAAAAAAEAIAAAACIAAABk&#10;cnMvZG93bnJldi54bWxQSwECFAAUAAAACACHTuJA49wOCTsCAABnBAAADgAAAAAAAAABACAAAAAr&#10;AQAAZHJzL2Uyb0RvYy54bWxQSwUGAAAAAAYABgBZAQAA2AUAAAAA&#10;">
                <v:fill on="f" focussize="0,0"/>
                <v:stroke on="f" weight="0.5pt"/>
                <v:imagedata o:title=""/>
                <o:lock v:ext="edit" aspectratio="f"/>
                <v:textbox>
                  <w:txbxContent>
                    <w:p>
                      <w:pPr>
                        <w:rPr>
                          <w:rFonts w:hint="default" w:eastAsia="宋体"/>
                          <w:color w:val="FFFF00"/>
                          <w:lang w:val="en-US" w:eastAsia="zh-CN"/>
                        </w:rPr>
                      </w:pPr>
                      <w:r>
                        <w:rPr>
                          <w:rFonts w:hint="eastAsia" w:ascii="宋体" w:hAnsi="宋体" w:eastAsia="宋体" w:cs="宋体"/>
                          <w:b/>
                          <w:bCs/>
                          <w:color w:val="FFFF00"/>
                          <w:sz w:val="28"/>
                          <w:szCs w:val="32"/>
                        </w:rPr>
                        <w:t>★</w:t>
                      </w:r>
                      <w:r>
                        <w:rPr>
                          <w:rFonts w:hint="default" w:ascii="Times New Roman" w:hAnsi="Times New Roman" w:eastAsia="宋体" w:cs="Times New Roman"/>
                          <w:b/>
                          <w:bCs/>
                          <w:color w:val="auto"/>
                          <w:lang w:val="en-US" w:eastAsia="zh-CN"/>
                        </w:rPr>
                        <w:t>D</w:t>
                      </w:r>
                      <w:r>
                        <w:rPr>
                          <w:rFonts w:hint="eastAsia" w:ascii="Times New Roman" w:hAnsi="Times New Roman" w:cs="Times New Roman"/>
                          <w:b/>
                          <w:bCs/>
                          <w:color w:val="auto"/>
                          <w:lang w:val="en-US" w:eastAsia="zh-CN"/>
                        </w:rPr>
                        <w:t>1</w:t>
                      </w:r>
                    </w:p>
                  </w:txbxContent>
                </v:textbox>
              </v:shape>
            </w:pict>
          </mc:Fallback>
        </mc:AlternateContent>
      </w:r>
      <w:r>
        <w:drawing>
          <wp:inline distT="0" distB="0" distL="114300" distR="114300">
            <wp:extent cx="9429750" cy="4279900"/>
            <wp:effectExtent l="0" t="0" r="6350" b="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3"/>
                    <a:stretch>
                      <a:fillRect/>
                    </a:stretch>
                  </pic:blipFill>
                  <pic:spPr>
                    <a:xfrm>
                      <a:off x="0" y="0"/>
                      <a:ext cx="9429750" cy="4279900"/>
                    </a:xfrm>
                    <a:prstGeom prst="rect">
                      <a:avLst/>
                    </a:prstGeom>
                    <a:noFill/>
                    <a:ln>
                      <a:noFill/>
                    </a:ln>
                  </pic:spPr>
                </pic:pic>
              </a:graphicData>
            </a:graphic>
          </wp:inline>
        </w:drawing>
      </w:r>
      <w:r>
        <w:rPr>
          <w:sz w:val="21"/>
        </w:rPr>
        <mc:AlternateContent>
          <mc:Choice Requires="wps">
            <w:drawing>
              <wp:anchor distT="0" distB="0" distL="114300" distR="114300" simplePos="0" relativeHeight="251679744" behindDoc="0" locked="0" layoutInCell="1" allowOverlap="1">
                <wp:simplePos x="0" y="0"/>
                <wp:positionH relativeFrom="column">
                  <wp:posOffset>978535</wp:posOffset>
                </wp:positionH>
                <wp:positionV relativeFrom="paragraph">
                  <wp:posOffset>2349500</wp:posOffset>
                </wp:positionV>
                <wp:extent cx="798830" cy="374650"/>
                <wp:effectExtent l="0" t="0" r="0" b="0"/>
                <wp:wrapNone/>
                <wp:docPr id="29" name="文本框 29"/>
                <wp:cNvGraphicFramePr/>
                <a:graphic xmlns:a="http://schemas.openxmlformats.org/drawingml/2006/main">
                  <a:graphicData uri="http://schemas.microsoft.com/office/word/2010/wordprocessingShape">
                    <wps:wsp>
                      <wps:cNvSpPr txBox="1"/>
                      <wps:spPr>
                        <a:xfrm>
                          <a:off x="1403350" y="3170555"/>
                          <a:ext cx="798830" cy="374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FF00"/>
                                <w:lang w:val="en-US" w:eastAsia="zh-CN"/>
                              </w:rPr>
                            </w:pPr>
                            <w:r>
                              <w:rPr>
                                <w:rFonts w:hint="eastAsia" w:ascii="宋体" w:hAnsi="宋体" w:eastAsia="宋体" w:cs="宋体"/>
                                <w:b/>
                                <w:bCs/>
                                <w:color w:val="FFFF00"/>
                                <w:sz w:val="28"/>
                                <w:szCs w:val="32"/>
                              </w:rPr>
                              <w:t>★</w:t>
                            </w:r>
                            <w:r>
                              <w:rPr>
                                <w:rFonts w:hint="default" w:ascii="Times New Roman" w:hAnsi="Times New Roman" w:eastAsia="宋体" w:cs="Times New Roman"/>
                                <w:b/>
                                <w:bCs/>
                                <w:color w:val="auto"/>
                                <w:lang w:val="en-US" w:eastAsia="zh-CN"/>
                              </w:rPr>
                              <w:t>D0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05pt;margin-top:185pt;height:29.5pt;width:62.9pt;z-index:251679744;mso-width-relative:page;mso-height-relative:page;" filled="f" stroked="f" coordsize="21600,21600" o:gfxdata="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z6z3dwAAAALAQAADwAAAAAAAAAB&#10;ACAAAAAiAAAAZHJzL2Rvd25yZXYueG1sUEsBAhQAFAAAAAgAh07iQEFe3dtFAgAAcwQAAA4AAAAA&#10;AAAAAQAgAAAAKwEAAGRycy9lMm9Eb2MueG1sUEsFBgAAAAAGAAYAWQEAAOIFAAAAAA==&#10;">
                <v:fill on="f" focussize="0,0"/>
                <v:stroke on="f" weight="0.5pt"/>
                <v:imagedata o:title=""/>
                <o:lock v:ext="edit" aspectratio="f"/>
                <v:textbox>
                  <w:txbxContent>
                    <w:p>
                      <w:pPr>
                        <w:rPr>
                          <w:rFonts w:hint="default" w:eastAsia="宋体"/>
                          <w:color w:val="FFFF00"/>
                          <w:lang w:val="en-US" w:eastAsia="zh-CN"/>
                        </w:rPr>
                      </w:pPr>
                      <w:r>
                        <w:rPr>
                          <w:rFonts w:hint="eastAsia" w:ascii="宋体" w:hAnsi="宋体" w:eastAsia="宋体" w:cs="宋体"/>
                          <w:b/>
                          <w:bCs/>
                          <w:color w:val="FFFF00"/>
                          <w:sz w:val="28"/>
                          <w:szCs w:val="32"/>
                        </w:rPr>
                        <w:t>★</w:t>
                      </w:r>
                      <w:r>
                        <w:rPr>
                          <w:rFonts w:hint="default" w:ascii="Times New Roman" w:hAnsi="Times New Roman" w:eastAsia="宋体" w:cs="Times New Roman"/>
                          <w:b/>
                          <w:bCs/>
                          <w:color w:val="auto"/>
                          <w:lang w:val="en-US" w:eastAsia="zh-CN"/>
                        </w:rPr>
                        <w:t>D0</w:t>
                      </w:r>
                    </w:p>
                  </w:txbxContent>
                </v:textbox>
              </v:shape>
            </w:pict>
          </mc:Fallback>
        </mc:AlternateContent>
      </w:r>
    </w:p>
    <w:p>
      <w:pPr>
        <w:widowControl/>
        <w:jc w:val="center"/>
        <w:rPr>
          <w:rFonts w:ascii="Times New Roman" w:hAnsi="Times New Roman"/>
          <w:snapToGrid w:val="0"/>
          <w:kern w:val="0"/>
          <w:sz w:val="24"/>
          <w:szCs w:val="24"/>
        </w:rPr>
      </w:pPr>
      <w:r>
        <w:rPr>
          <w:rFonts w:hint="eastAsia" w:ascii="Times New Roman" w:hAnsi="Times New Roman"/>
          <w:b/>
          <w:snapToGrid w:val="0"/>
          <w:kern w:val="0"/>
          <w:sz w:val="24"/>
          <w:szCs w:val="24"/>
        </w:rPr>
        <w:t xml:space="preserve">图6.3-1 </w:t>
      </w:r>
      <w:r>
        <w:rPr>
          <w:rFonts w:hint="eastAsia" w:ascii="Times New Roman" w:hAnsi="Times New Roman"/>
          <w:b/>
          <w:snapToGrid w:val="0"/>
          <w:kern w:val="0"/>
          <w:sz w:val="24"/>
          <w:szCs w:val="24"/>
          <w:lang w:eastAsia="zh-CN"/>
        </w:rPr>
        <w:t>江苏奥斯佳材料科技有限公司</w:t>
      </w:r>
      <w:r>
        <w:rPr>
          <w:rFonts w:hint="eastAsia" w:ascii="Times New Roman" w:hAnsi="Times New Roman"/>
          <w:b/>
          <w:snapToGrid w:val="0"/>
          <w:kern w:val="0"/>
          <w:sz w:val="24"/>
          <w:szCs w:val="24"/>
        </w:rPr>
        <w:t>地下水监测点位图</w:t>
      </w:r>
    </w:p>
    <w:p>
      <w:pPr>
        <w:widowControl/>
        <w:spacing w:line="500" w:lineRule="exact"/>
        <w:rPr>
          <w:rFonts w:ascii="Times New Roman" w:hAnsi="Times New Roman"/>
          <w:snapToGrid w:val="0"/>
          <w:kern w:val="0"/>
          <w:sz w:val="24"/>
          <w:szCs w:val="24"/>
        </w:rPr>
        <w:sectPr>
          <w:pgSz w:w="16838" w:h="11906" w:orient="landscape"/>
          <w:pgMar w:top="720" w:right="720" w:bottom="720" w:left="720" w:header="851" w:footer="992" w:gutter="0"/>
          <w:cols w:space="425" w:num="1"/>
          <w:docGrid w:type="lines" w:linePitch="312" w:charSpace="0"/>
        </w:sectPr>
      </w:pPr>
    </w:p>
    <w:p>
      <w:pPr>
        <w:keepNext/>
        <w:keepLines/>
        <w:widowControl/>
        <w:spacing w:before="156" w:beforeLines="50" w:after="156" w:afterLines="50" w:line="500" w:lineRule="exact"/>
        <w:contextualSpacing/>
        <w:outlineLvl w:val="1"/>
        <w:rPr>
          <w:rFonts w:ascii="Times New Roman" w:hAnsi="Times New Roman"/>
          <w:snapToGrid w:val="0"/>
          <w:kern w:val="0"/>
          <w:sz w:val="24"/>
          <w:szCs w:val="24"/>
        </w:rPr>
      </w:pPr>
      <w:bookmarkStart w:id="149" w:name="_Toc531519947"/>
      <w:bookmarkStart w:id="150" w:name="_Toc13847399"/>
      <w:bookmarkStart w:id="151" w:name="_Toc534203200"/>
      <w:bookmarkStart w:id="152" w:name="_Toc6481"/>
      <w:r>
        <w:rPr>
          <w:rFonts w:hint="eastAsia" w:ascii="Times New Roman" w:hAnsi="Times New Roman"/>
          <w:b/>
          <w:bCs/>
          <w:sz w:val="28"/>
          <w:szCs w:val="32"/>
        </w:rPr>
        <w:t>6.4点位</w:t>
      </w:r>
      <w:bookmarkEnd w:id="149"/>
      <w:r>
        <w:rPr>
          <w:rFonts w:hint="eastAsia" w:ascii="Times New Roman" w:hAnsi="Times New Roman"/>
          <w:b/>
          <w:bCs/>
          <w:sz w:val="28"/>
          <w:szCs w:val="32"/>
        </w:rPr>
        <w:t>重叠</w:t>
      </w:r>
      <w:bookmarkEnd w:id="150"/>
      <w:bookmarkEnd w:id="151"/>
      <w:bookmarkEnd w:id="152"/>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根据自行监测技术指南要求，所有地下水监测井在建井时取出的柱状样应作为地块初次采样时的土壤背景值进行分析测试并予以记录。考虑到部分土壤一般监测点位与地下水井存在点位重叠的现象，因此以下表6.4-1中出现重叠的土壤一般监测点位无需重新采样，只需对应采取地下水监测井建井时采集的柱状样即可，采样深度同地下水监测井深度。</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土壤深层采样时，每个采样点位至少在3个不同深度采集土壤样品并送检，实际送检样品可结合现场快速检测设备的数值和土壤样品表观性状做具体判断。不属于表6.4-1中的土壤一般监测点位与地下水井重叠的点位仍按照本方案中土壤监测的要求进行采样分析。</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同时根据项目组实地踏勘和记录结果，下表中提供了各点位的GPS坐标。</w:t>
      </w:r>
    </w:p>
    <w:p>
      <w:pPr>
        <w:jc w:val="center"/>
        <w:rPr>
          <w:rFonts w:ascii="Times New Roman" w:hAnsi="Times New Roman"/>
          <w:b/>
          <w:sz w:val="24"/>
          <w:szCs w:val="28"/>
        </w:rPr>
      </w:pPr>
      <w:r>
        <w:rPr>
          <w:rFonts w:hint="eastAsia" w:ascii="Times New Roman" w:hAnsi="Times New Roman"/>
          <w:b/>
          <w:sz w:val="24"/>
          <w:szCs w:val="28"/>
        </w:rPr>
        <w:t>表6.4-1</w:t>
      </w:r>
      <w:r>
        <w:rPr>
          <w:rFonts w:ascii="Times New Roman" w:hAnsi="Times New Roman"/>
          <w:b/>
          <w:sz w:val="24"/>
          <w:szCs w:val="28"/>
        </w:rPr>
        <w:t xml:space="preserve"> </w:t>
      </w:r>
      <w:r>
        <w:rPr>
          <w:rFonts w:hint="eastAsia" w:ascii="Times New Roman" w:hAnsi="Times New Roman"/>
          <w:b/>
          <w:sz w:val="24"/>
          <w:szCs w:val="28"/>
        </w:rPr>
        <w:t>土壤监测与地下水井点位重叠</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1450"/>
        <w:gridCol w:w="1425"/>
        <w:gridCol w:w="1808"/>
        <w:gridCol w:w="1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34" w:type="dxa"/>
            <w:vMerge w:val="restart"/>
            <w:vAlign w:val="center"/>
          </w:tcPr>
          <w:p>
            <w:pPr>
              <w:jc w:val="center"/>
              <w:rPr>
                <w:rFonts w:ascii="Times New Roman" w:hAnsi="Times New Roman"/>
                <w:b/>
                <w:szCs w:val="21"/>
              </w:rPr>
            </w:pPr>
            <w:r>
              <w:rPr>
                <w:rFonts w:ascii="Times New Roman" w:hAnsi="Times New Roman"/>
                <w:b/>
                <w:szCs w:val="21"/>
              </w:rPr>
              <w:t>点位</w:t>
            </w:r>
          </w:p>
          <w:p>
            <w:pPr>
              <w:jc w:val="center"/>
              <w:rPr>
                <w:rFonts w:ascii="Times New Roman" w:hAnsi="Times New Roman"/>
                <w:b/>
                <w:szCs w:val="21"/>
              </w:rPr>
            </w:pPr>
            <w:r>
              <w:rPr>
                <w:rFonts w:ascii="Times New Roman" w:hAnsi="Times New Roman"/>
                <w:b/>
                <w:szCs w:val="21"/>
              </w:rPr>
              <w:t>（重叠点位）</w:t>
            </w:r>
          </w:p>
        </w:tc>
        <w:tc>
          <w:tcPr>
            <w:tcW w:w="1450" w:type="dxa"/>
            <w:vMerge w:val="restart"/>
            <w:vAlign w:val="center"/>
          </w:tcPr>
          <w:p>
            <w:pPr>
              <w:jc w:val="center"/>
              <w:rPr>
                <w:rFonts w:ascii="Times New Roman" w:hAnsi="Times New Roman"/>
                <w:b/>
                <w:szCs w:val="21"/>
              </w:rPr>
            </w:pPr>
            <w:r>
              <w:rPr>
                <w:rFonts w:ascii="Times New Roman" w:hAnsi="Times New Roman"/>
                <w:b/>
                <w:szCs w:val="21"/>
              </w:rPr>
              <w:t>重点区域</w:t>
            </w:r>
          </w:p>
        </w:tc>
        <w:tc>
          <w:tcPr>
            <w:tcW w:w="1425" w:type="dxa"/>
            <w:vMerge w:val="restart"/>
            <w:vAlign w:val="center"/>
          </w:tcPr>
          <w:p>
            <w:pPr>
              <w:jc w:val="center"/>
              <w:rPr>
                <w:rFonts w:hint="default" w:ascii="Times New Roman" w:hAnsi="Times New Roman" w:eastAsia="宋体"/>
                <w:b/>
                <w:szCs w:val="21"/>
                <w:lang w:val="en-US" w:eastAsia="zh-CN"/>
              </w:rPr>
            </w:pPr>
            <w:r>
              <w:rPr>
                <w:rFonts w:hint="eastAsia" w:ascii="Times New Roman" w:hAnsi="Times New Roman"/>
                <w:b/>
                <w:szCs w:val="21"/>
                <w:lang w:val="en-US" w:eastAsia="zh-CN"/>
              </w:rPr>
              <w:t>重点设施</w:t>
            </w:r>
          </w:p>
        </w:tc>
        <w:tc>
          <w:tcPr>
            <w:tcW w:w="3697" w:type="dxa"/>
            <w:gridSpan w:val="2"/>
            <w:vAlign w:val="center"/>
          </w:tcPr>
          <w:p>
            <w:pPr>
              <w:jc w:val="center"/>
              <w:rPr>
                <w:rFonts w:ascii="Times New Roman" w:hAnsi="Times New Roman"/>
                <w:b/>
                <w:szCs w:val="21"/>
              </w:rPr>
            </w:pPr>
            <w:r>
              <w:rPr>
                <w:rFonts w:hint="eastAsia" w:ascii="Times New Roman" w:hAnsi="Times New Roman"/>
                <w:b/>
                <w:szCs w:val="21"/>
              </w:rPr>
              <w:t>现场确定坐标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34" w:type="dxa"/>
            <w:vMerge w:val="continue"/>
            <w:vAlign w:val="center"/>
          </w:tcPr>
          <w:p>
            <w:pPr>
              <w:jc w:val="center"/>
              <w:rPr>
                <w:rFonts w:ascii="Times New Roman" w:hAnsi="Times New Roman"/>
                <w:b/>
                <w:szCs w:val="21"/>
              </w:rPr>
            </w:pPr>
          </w:p>
        </w:tc>
        <w:tc>
          <w:tcPr>
            <w:tcW w:w="1450" w:type="dxa"/>
            <w:vMerge w:val="continue"/>
            <w:vAlign w:val="center"/>
          </w:tcPr>
          <w:p>
            <w:pPr>
              <w:jc w:val="center"/>
              <w:rPr>
                <w:rFonts w:ascii="Times New Roman" w:hAnsi="Times New Roman"/>
                <w:b/>
                <w:szCs w:val="21"/>
              </w:rPr>
            </w:pPr>
          </w:p>
        </w:tc>
        <w:tc>
          <w:tcPr>
            <w:tcW w:w="1425" w:type="dxa"/>
            <w:vMerge w:val="continue"/>
            <w:vAlign w:val="center"/>
          </w:tcPr>
          <w:p>
            <w:pPr>
              <w:jc w:val="center"/>
              <w:rPr>
                <w:rFonts w:ascii="Times New Roman" w:hAnsi="Times New Roman"/>
                <w:b/>
                <w:szCs w:val="21"/>
              </w:rPr>
            </w:pPr>
          </w:p>
        </w:tc>
        <w:tc>
          <w:tcPr>
            <w:tcW w:w="1808" w:type="dxa"/>
            <w:vAlign w:val="center"/>
          </w:tcPr>
          <w:p>
            <w:pPr>
              <w:jc w:val="center"/>
              <w:rPr>
                <w:rFonts w:hint="eastAsia" w:ascii="Times New Roman" w:hAnsi="Times New Roman" w:eastAsia="宋体"/>
                <w:b/>
                <w:szCs w:val="21"/>
                <w:lang w:eastAsia="zh-CN"/>
              </w:rPr>
            </w:pPr>
            <w:r>
              <w:rPr>
                <w:rFonts w:hint="eastAsia" w:ascii="Times New Roman" w:hAnsi="Times New Roman"/>
                <w:b/>
                <w:szCs w:val="21"/>
                <w:lang w:val="en-US" w:eastAsia="zh-CN"/>
              </w:rPr>
              <w:t>经度</w:t>
            </w:r>
          </w:p>
        </w:tc>
        <w:tc>
          <w:tcPr>
            <w:tcW w:w="1889" w:type="dxa"/>
            <w:vAlign w:val="center"/>
          </w:tcPr>
          <w:p>
            <w:pPr>
              <w:jc w:val="center"/>
              <w:rPr>
                <w:rFonts w:hint="eastAsia" w:ascii="Times New Roman" w:hAnsi="Times New Roman" w:eastAsia="宋体"/>
                <w:b/>
                <w:szCs w:val="21"/>
                <w:lang w:eastAsia="zh-CN"/>
              </w:rPr>
            </w:pPr>
            <w:r>
              <w:rPr>
                <w:rFonts w:hint="eastAsia" w:ascii="Times New Roman" w:hAnsi="Times New Roman"/>
                <w:b/>
                <w:szCs w:val="21"/>
                <w:lang w:val="en-US" w:eastAsia="zh-CN"/>
              </w:rPr>
              <w:t>纬度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34"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w:t>
            </w:r>
            <w:r>
              <w:rPr>
                <w:rFonts w:ascii="Times New Roman" w:hAnsi="Times New Roman"/>
                <w:color w:val="000000"/>
                <w:szCs w:val="21"/>
              </w:rPr>
              <w:t>1</w:t>
            </w:r>
          </w:p>
        </w:tc>
        <w:tc>
          <w:tcPr>
            <w:tcW w:w="1450" w:type="dxa"/>
            <w:vMerge w:val="restar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丙类仓库</w:t>
            </w:r>
          </w:p>
        </w:tc>
        <w:tc>
          <w:tcPr>
            <w:tcW w:w="1425" w:type="dxa"/>
            <w:vMerge w:val="restar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丙类仓库、地面冲洗废水收集池</w:t>
            </w:r>
          </w:p>
        </w:tc>
        <w:tc>
          <w:tcPr>
            <w:tcW w:w="1808" w:type="dxa"/>
            <w:vAlign w:val="center"/>
          </w:tcPr>
          <w:p>
            <w:pPr>
              <w:jc w:val="center"/>
              <w:rPr>
                <w:rFonts w:ascii="Times New Roman" w:hAnsi="Times New Roman"/>
                <w:szCs w:val="21"/>
              </w:rPr>
            </w:pPr>
            <w:r>
              <w:rPr>
                <w:rFonts w:hint="eastAsia" w:ascii="Times New Roman" w:hAnsi="Times New Roman"/>
                <w:szCs w:val="21"/>
              </w:rPr>
              <w:t>120.281828361</w:t>
            </w:r>
          </w:p>
        </w:tc>
        <w:tc>
          <w:tcPr>
            <w:tcW w:w="1889" w:type="dxa"/>
            <w:vAlign w:val="center"/>
          </w:tcPr>
          <w:p>
            <w:pPr>
              <w:jc w:val="center"/>
              <w:rPr>
                <w:rFonts w:ascii="Times New Roman" w:hAnsi="Times New Roman"/>
                <w:szCs w:val="21"/>
              </w:rPr>
            </w:pPr>
            <w:r>
              <w:rPr>
                <w:rFonts w:hint="eastAsia" w:ascii="Times New Roman" w:hAnsi="Times New Roman"/>
                <w:szCs w:val="21"/>
              </w:rPr>
              <w:t>31.583521523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734"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w:t>
            </w:r>
            <w:r>
              <w:rPr>
                <w:rFonts w:ascii="Times New Roman" w:hAnsi="Times New Roman"/>
                <w:color w:val="000000"/>
                <w:szCs w:val="21"/>
              </w:rPr>
              <w:t>2（</w:t>
            </w:r>
            <w:r>
              <w:rPr>
                <w:rFonts w:hint="eastAsia" w:ascii="Times New Roman" w:hAnsi="Times New Roman"/>
                <w:color w:val="000000"/>
                <w:szCs w:val="21"/>
                <w:lang w:val="en-US" w:eastAsia="zh-CN"/>
              </w:rPr>
              <w:t>D</w:t>
            </w:r>
            <w:r>
              <w:rPr>
                <w:rFonts w:ascii="Times New Roman" w:hAnsi="Times New Roman"/>
                <w:color w:val="000000"/>
                <w:szCs w:val="21"/>
              </w:rPr>
              <w:t>1）</w:t>
            </w:r>
          </w:p>
        </w:tc>
        <w:tc>
          <w:tcPr>
            <w:tcW w:w="1450" w:type="dxa"/>
            <w:vMerge w:val="continue"/>
            <w:vAlign w:val="center"/>
          </w:tcPr>
          <w:p>
            <w:pPr>
              <w:jc w:val="center"/>
              <w:rPr>
                <w:rFonts w:ascii="Times New Roman" w:hAnsi="Times New Roman"/>
                <w:szCs w:val="21"/>
              </w:rPr>
            </w:pPr>
          </w:p>
        </w:tc>
        <w:tc>
          <w:tcPr>
            <w:tcW w:w="1425" w:type="dxa"/>
            <w:vMerge w:val="continue"/>
            <w:vAlign w:val="center"/>
          </w:tcPr>
          <w:p>
            <w:pPr>
              <w:jc w:val="center"/>
              <w:rPr>
                <w:rFonts w:ascii="Times New Roman" w:hAnsi="Times New Roman"/>
                <w:szCs w:val="21"/>
              </w:rPr>
            </w:pPr>
          </w:p>
        </w:tc>
        <w:tc>
          <w:tcPr>
            <w:tcW w:w="1808" w:type="dxa"/>
            <w:vAlign w:val="center"/>
          </w:tcPr>
          <w:p>
            <w:pPr>
              <w:jc w:val="center"/>
              <w:rPr>
                <w:rFonts w:ascii="Times New Roman" w:hAnsi="Times New Roman"/>
                <w:szCs w:val="21"/>
              </w:rPr>
            </w:pPr>
            <w:r>
              <w:rPr>
                <w:rFonts w:hint="eastAsia" w:ascii="Times New Roman" w:hAnsi="Times New Roman"/>
                <w:szCs w:val="21"/>
              </w:rPr>
              <w:t>120.281700902</w:t>
            </w:r>
          </w:p>
        </w:tc>
        <w:tc>
          <w:tcPr>
            <w:tcW w:w="1889" w:type="dxa"/>
            <w:vAlign w:val="center"/>
          </w:tcPr>
          <w:p>
            <w:pPr>
              <w:jc w:val="center"/>
              <w:rPr>
                <w:rFonts w:ascii="Times New Roman" w:hAnsi="Times New Roman"/>
                <w:szCs w:val="21"/>
              </w:rPr>
            </w:pPr>
            <w:r>
              <w:rPr>
                <w:rFonts w:hint="eastAsia" w:ascii="Times New Roman" w:hAnsi="Times New Roman"/>
                <w:szCs w:val="21"/>
              </w:rPr>
              <w:t>31.583571734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34"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w:t>
            </w:r>
            <w:r>
              <w:rPr>
                <w:rFonts w:ascii="Times New Roman" w:hAnsi="Times New Roman"/>
                <w:color w:val="000000"/>
                <w:szCs w:val="21"/>
              </w:rPr>
              <w:t>3（</w:t>
            </w:r>
            <w:r>
              <w:rPr>
                <w:rFonts w:hint="eastAsia" w:ascii="Times New Roman" w:hAnsi="Times New Roman"/>
                <w:color w:val="000000"/>
                <w:szCs w:val="21"/>
                <w:lang w:val="en-US" w:eastAsia="zh-CN"/>
              </w:rPr>
              <w:t>D</w:t>
            </w:r>
            <w:r>
              <w:rPr>
                <w:rFonts w:ascii="Times New Roman" w:hAnsi="Times New Roman"/>
                <w:color w:val="000000"/>
                <w:szCs w:val="21"/>
              </w:rPr>
              <w:t>2）</w:t>
            </w:r>
          </w:p>
        </w:tc>
        <w:tc>
          <w:tcPr>
            <w:tcW w:w="1450" w:type="dxa"/>
            <w:vMerge w:val="restart"/>
            <w:vAlign w:val="center"/>
          </w:tcPr>
          <w:p>
            <w:pPr>
              <w:jc w:val="center"/>
              <w:rPr>
                <w:rFonts w:hint="eastAsia" w:ascii="Times New Roman" w:hAnsi="Times New Roman" w:eastAsia="宋体"/>
                <w:szCs w:val="21"/>
                <w:lang w:val="en-US" w:eastAsia="zh-CN"/>
              </w:rPr>
            </w:pPr>
            <w:r>
              <w:rPr>
                <w:rFonts w:hint="eastAsia" w:ascii="Times New Roman" w:hAnsi="Times New Roman"/>
                <w:szCs w:val="21"/>
                <w:lang w:val="en-US" w:eastAsia="zh-CN"/>
              </w:rPr>
              <w:t>罐区</w:t>
            </w:r>
          </w:p>
        </w:tc>
        <w:tc>
          <w:tcPr>
            <w:tcW w:w="1425" w:type="dxa"/>
            <w:vMerge w:val="restart"/>
            <w:vAlign w:val="center"/>
          </w:tcPr>
          <w:p>
            <w:pPr>
              <w:jc w:val="center"/>
              <w:rPr>
                <w:rFonts w:hint="default"/>
                <w:lang w:val="en-US" w:eastAsia="zh-CN"/>
              </w:rPr>
            </w:pPr>
            <w:r>
              <w:rPr>
                <w:rFonts w:hint="eastAsia"/>
                <w:lang w:val="en-US" w:eastAsia="zh-CN"/>
              </w:rPr>
              <w:t>甲类储罐、丙类储罐、罐区废水收集池</w:t>
            </w:r>
          </w:p>
        </w:tc>
        <w:tc>
          <w:tcPr>
            <w:tcW w:w="1808" w:type="dxa"/>
            <w:vAlign w:val="center"/>
          </w:tcPr>
          <w:p>
            <w:pPr>
              <w:jc w:val="center"/>
              <w:rPr>
                <w:rFonts w:ascii="Times New Roman" w:hAnsi="Times New Roman"/>
                <w:szCs w:val="21"/>
              </w:rPr>
            </w:pPr>
            <w:r>
              <w:rPr>
                <w:rFonts w:hint="eastAsia" w:ascii="Times New Roman" w:hAnsi="Times New Roman"/>
                <w:szCs w:val="21"/>
              </w:rPr>
              <w:t>120.281814842</w:t>
            </w:r>
          </w:p>
        </w:tc>
        <w:tc>
          <w:tcPr>
            <w:tcW w:w="1889" w:type="dxa"/>
            <w:vAlign w:val="center"/>
          </w:tcPr>
          <w:p>
            <w:pPr>
              <w:jc w:val="center"/>
              <w:rPr>
                <w:rFonts w:ascii="Times New Roman" w:hAnsi="Times New Roman"/>
                <w:szCs w:val="21"/>
              </w:rPr>
            </w:pPr>
            <w:r>
              <w:rPr>
                <w:rFonts w:hint="eastAsia" w:ascii="Times New Roman" w:hAnsi="Times New Roman"/>
                <w:szCs w:val="21"/>
              </w:rPr>
              <w:t>31.583780302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w:t>
            </w:r>
            <w:r>
              <w:rPr>
                <w:rFonts w:ascii="Times New Roman" w:hAnsi="Times New Roman"/>
                <w:color w:val="000000"/>
                <w:szCs w:val="21"/>
              </w:rPr>
              <w:t>4</w:t>
            </w:r>
          </w:p>
        </w:tc>
        <w:tc>
          <w:tcPr>
            <w:tcW w:w="1450" w:type="dxa"/>
            <w:vMerge w:val="continue"/>
            <w:vAlign w:val="center"/>
          </w:tcPr>
          <w:p>
            <w:pPr>
              <w:jc w:val="center"/>
              <w:rPr>
                <w:rFonts w:ascii="Times New Roman" w:hAnsi="Times New Roman"/>
                <w:szCs w:val="21"/>
              </w:rPr>
            </w:pPr>
          </w:p>
        </w:tc>
        <w:tc>
          <w:tcPr>
            <w:tcW w:w="1425" w:type="dxa"/>
            <w:vMerge w:val="continue"/>
            <w:vAlign w:val="center"/>
          </w:tcPr>
          <w:p>
            <w:pPr>
              <w:jc w:val="center"/>
              <w:rPr>
                <w:rFonts w:ascii="Times New Roman" w:hAnsi="Times New Roman"/>
                <w:szCs w:val="21"/>
              </w:rPr>
            </w:pPr>
          </w:p>
        </w:tc>
        <w:tc>
          <w:tcPr>
            <w:tcW w:w="1808" w:type="dxa"/>
            <w:vAlign w:val="center"/>
          </w:tcPr>
          <w:p>
            <w:pPr>
              <w:jc w:val="center"/>
              <w:rPr>
                <w:rFonts w:ascii="Times New Roman" w:hAnsi="Times New Roman"/>
                <w:szCs w:val="21"/>
              </w:rPr>
            </w:pPr>
            <w:r>
              <w:rPr>
                <w:rFonts w:hint="eastAsia" w:ascii="Times New Roman" w:hAnsi="Times New Roman"/>
                <w:szCs w:val="21"/>
              </w:rPr>
              <w:t>120.281940370</w:t>
            </w:r>
          </w:p>
        </w:tc>
        <w:tc>
          <w:tcPr>
            <w:tcW w:w="1889" w:type="dxa"/>
            <w:vAlign w:val="center"/>
          </w:tcPr>
          <w:p>
            <w:pPr>
              <w:jc w:val="center"/>
              <w:rPr>
                <w:rFonts w:ascii="Times New Roman" w:hAnsi="Times New Roman"/>
                <w:szCs w:val="21"/>
              </w:rPr>
            </w:pPr>
            <w:r>
              <w:rPr>
                <w:rFonts w:hint="eastAsia" w:ascii="Times New Roman" w:hAnsi="Times New Roman"/>
                <w:szCs w:val="21"/>
              </w:rPr>
              <w:t>31.583728160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34"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w:t>
            </w:r>
            <w:r>
              <w:rPr>
                <w:rFonts w:ascii="Times New Roman" w:hAnsi="Times New Roman"/>
                <w:color w:val="000000"/>
                <w:szCs w:val="21"/>
              </w:rPr>
              <w:t>5</w:t>
            </w:r>
          </w:p>
        </w:tc>
        <w:tc>
          <w:tcPr>
            <w:tcW w:w="1450" w:type="dxa"/>
            <w:vMerge w:val="restar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甲类生产车间</w:t>
            </w:r>
          </w:p>
        </w:tc>
        <w:tc>
          <w:tcPr>
            <w:tcW w:w="1425" w:type="dxa"/>
            <w:vMerge w:val="restar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车间设备、导热油罐、车间废水收集池</w:t>
            </w:r>
          </w:p>
        </w:tc>
        <w:tc>
          <w:tcPr>
            <w:tcW w:w="1808" w:type="dxa"/>
            <w:vAlign w:val="center"/>
          </w:tcPr>
          <w:p>
            <w:pPr>
              <w:jc w:val="center"/>
              <w:rPr>
                <w:rFonts w:ascii="Times New Roman" w:hAnsi="Times New Roman"/>
                <w:szCs w:val="21"/>
              </w:rPr>
            </w:pPr>
            <w:r>
              <w:rPr>
                <w:rFonts w:hint="eastAsia" w:ascii="Times New Roman" w:hAnsi="Times New Roman"/>
                <w:szCs w:val="21"/>
              </w:rPr>
              <w:t>120.282007962</w:t>
            </w:r>
          </w:p>
        </w:tc>
        <w:tc>
          <w:tcPr>
            <w:tcW w:w="1889" w:type="dxa"/>
            <w:vAlign w:val="center"/>
          </w:tcPr>
          <w:p>
            <w:pPr>
              <w:jc w:val="center"/>
              <w:rPr>
                <w:rFonts w:ascii="Times New Roman" w:hAnsi="Times New Roman"/>
                <w:szCs w:val="21"/>
              </w:rPr>
            </w:pPr>
            <w:r>
              <w:rPr>
                <w:rFonts w:hint="eastAsia" w:ascii="Times New Roman" w:hAnsi="Times New Roman"/>
                <w:szCs w:val="21"/>
              </w:rPr>
              <w:t>31.583890380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w:t>
            </w:r>
            <w:r>
              <w:rPr>
                <w:rFonts w:ascii="Times New Roman" w:hAnsi="Times New Roman"/>
                <w:color w:val="000000"/>
                <w:szCs w:val="21"/>
              </w:rPr>
              <w:t>6（</w:t>
            </w:r>
            <w:r>
              <w:rPr>
                <w:rFonts w:hint="eastAsia" w:ascii="Times New Roman" w:hAnsi="Times New Roman"/>
                <w:color w:val="000000"/>
                <w:szCs w:val="21"/>
                <w:lang w:val="en-US" w:eastAsia="zh-CN"/>
              </w:rPr>
              <w:t>D3</w:t>
            </w:r>
            <w:r>
              <w:rPr>
                <w:rFonts w:ascii="Times New Roman" w:hAnsi="Times New Roman"/>
                <w:color w:val="000000"/>
                <w:szCs w:val="21"/>
              </w:rPr>
              <w:t>）</w:t>
            </w:r>
          </w:p>
        </w:tc>
        <w:tc>
          <w:tcPr>
            <w:tcW w:w="1450" w:type="dxa"/>
            <w:vMerge w:val="continue"/>
            <w:vAlign w:val="center"/>
          </w:tcPr>
          <w:p>
            <w:pPr>
              <w:jc w:val="center"/>
              <w:rPr>
                <w:rFonts w:ascii="Times New Roman" w:hAnsi="Times New Roman"/>
                <w:szCs w:val="21"/>
              </w:rPr>
            </w:pPr>
          </w:p>
        </w:tc>
        <w:tc>
          <w:tcPr>
            <w:tcW w:w="1425" w:type="dxa"/>
            <w:vMerge w:val="continue"/>
            <w:vAlign w:val="center"/>
          </w:tcPr>
          <w:p>
            <w:pPr>
              <w:jc w:val="center"/>
              <w:rPr>
                <w:rFonts w:ascii="Times New Roman" w:hAnsi="Times New Roman"/>
                <w:szCs w:val="21"/>
              </w:rPr>
            </w:pPr>
          </w:p>
        </w:tc>
        <w:tc>
          <w:tcPr>
            <w:tcW w:w="1808" w:type="dxa"/>
            <w:vAlign w:val="center"/>
          </w:tcPr>
          <w:p>
            <w:pPr>
              <w:jc w:val="center"/>
              <w:rPr>
                <w:rFonts w:ascii="Times New Roman" w:hAnsi="Times New Roman"/>
                <w:szCs w:val="21"/>
              </w:rPr>
            </w:pPr>
            <w:r>
              <w:rPr>
                <w:rFonts w:hint="eastAsia" w:ascii="Times New Roman" w:hAnsi="Times New Roman"/>
                <w:szCs w:val="21"/>
              </w:rPr>
              <w:t>120.282046585</w:t>
            </w:r>
          </w:p>
        </w:tc>
        <w:tc>
          <w:tcPr>
            <w:tcW w:w="1889" w:type="dxa"/>
            <w:vAlign w:val="center"/>
          </w:tcPr>
          <w:p>
            <w:pPr>
              <w:jc w:val="center"/>
              <w:rPr>
                <w:rFonts w:ascii="Times New Roman" w:hAnsi="Times New Roman"/>
                <w:szCs w:val="21"/>
              </w:rPr>
            </w:pPr>
            <w:r>
              <w:rPr>
                <w:rFonts w:hint="eastAsia" w:ascii="Times New Roman" w:hAnsi="Times New Roman"/>
                <w:szCs w:val="21"/>
              </w:rPr>
              <w:t>31.584101845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734"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w:t>
            </w:r>
            <w:r>
              <w:rPr>
                <w:rFonts w:ascii="Times New Roman" w:hAnsi="Times New Roman"/>
                <w:color w:val="000000"/>
                <w:szCs w:val="21"/>
              </w:rPr>
              <w:t>7</w:t>
            </w:r>
          </w:p>
        </w:tc>
        <w:tc>
          <w:tcPr>
            <w:tcW w:w="145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丙类车间背景监测</w:t>
            </w:r>
          </w:p>
        </w:tc>
        <w:tc>
          <w:tcPr>
            <w:tcW w:w="1425" w:type="dxa"/>
            <w:vAlign w:val="center"/>
          </w:tcPr>
          <w:p>
            <w:pPr>
              <w:jc w:val="center"/>
              <w:rPr>
                <w:rFonts w:hint="eastAsia" w:ascii="Times New Roman" w:hAnsi="Times New Roman" w:eastAsia="宋体"/>
                <w:szCs w:val="21"/>
                <w:lang w:val="en-US" w:eastAsia="zh-CN"/>
              </w:rPr>
            </w:pPr>
            <w:r>
              <w:rPr>
                <w:rFonts w:hint="eastAsia" w:ascii="Times New Roman" w:hAnsi="Times New Roman"/>
                <w:szCs w:val="21"/>
                <w:lang w:val="en-US" w:eastAsia="zh-CN"/>
              </w:rPr>
              <w:t>/</w:t>
            </w:r>
          </w:p>
        </w:tc>
        <w:tc>
          <w:tcPr>
            <w:tcW w:w="1808" w:type="dxa"/>
            <w:vAlign w:val="center"/>
          </w:tcPr>
          <w:p>
            <w:pPr>
              <w:jc w:val="center"/>
              <w:rPr>
                <w:rFonts w:ascii="Times New Roman" w:hAnsi="Times New Roman"/>
                <w:szCs w:val="21"/>
              </w:rPr>
            </w:pPr>
            <w:r>
              <w:rPr>
                <w:rFonts w:hint="eastAsia" w:ascii="Times New Roman" w:hAnsi="Times New Roman"/>
                <w:szCs w:val="21"/>
              </w:rPr>
              <w:t>120.282166319</w:t>
            </w:r>
          </w:p>
        </w:tc>
        <w:tc>
          <w:tcPr>
            <w:tcW w:w="1889" w:type="dxa"/>
            <w:vAlign w:val="center"/>
          </w:tcPr>
          <w:p>
            <w:pPr>
              <w:jc w:val="center"/>
              <w:rPr>
                <w:rFonts w:ascii="Times New Roman" w:hAnsi="Times New Roman"/>
                <w:szCs w:val="21"/>
              </w:rPr>
            </w:pPr>
            <w:r>
              <w:rPr>
                <w:rFonts w:hint="eastAsia" w:ascii="Times New Roman" w:hAnsi="Times New Roman"/>
                <w:szCs w:val="21"/>
              </w:rPr>
              <w:t>31.584011079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34"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w:t>
            </w:r>
            <w:r>
              <w:rPr>
                <w:rFonts w:ascii="Times New Roman" w:hAnsi="Times New Roman"/>
                <w:color w:val="000000"/>
                <w:szCs w:val="21"/>
              </w:rPr>
              <w:t>8</w:t>
            </w:r>
          </w:p>
        </w:tc>
        <w:tc>
          <w:tcPr>
            <w:tcW w:w="1450" w:type="dxa"/>
            <w:vMerge w:val="restar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甲类仓库</w:t>
            </w:r>
          </w:p>
        </w:tc>
        <w:tc>
          <w:tcPr>
            <w:tcW w:w="1425" w:type="dxa"/>
            <w:vMerge w:val="restart"/>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甲类仓库、危废仓库、废水总收集池</w:t>
            </w:r>
          </w:p>
        </w:tc>
        <w:tc>
          <w:tcPr>
            <w:tcW w:w="1808" w:type="dxa"/>
            <w:vAlign w:val="center"/>
          </w:tcPr>
          <w:p>
            <w:pPr>
              <w:jc w:val="center"/>
              <w:rPr>
                <w:rFonts w:ascii="Times New Roman" w:hAnsi="Times New Roman"/>
                <w:szCs w:val="21"/>
              </w:rPr>
            </w:pPr>
            <w:r>
              <w:rPr>
                <w:rFonts w:hint="eastAsia" w:ascii="Times New Roman" w:hAnsi="Times New Roman"/>
                <w:szCs w:val="21"/>
              </w:rPr>
              <w:t>120.282202046</w:t>
            </w:r>
          </w:p>
        </w:tc>
        <w:tc>
          <w:tcPr>
            <w:tcW w:w="1889" w:type="dxa"/>
            <w:vAlign w:val="center"/>
          </w:tcPr>
          <w:p>
            <w:pPr>
              <w:jc w:val="center"/>
              <w:rPr>
                <w:rFonts w:ascii="Times New Roman" w:hAnsi="Times New Roman"/>
                <w:szCs w:val="21"/>
              </w:rPr>
            </w:pPr>
            <w:r>
              <w:rPr>
                <w:rFonts w:hint="eastAsia" w:ascii="Times New Roman" w:hAnsi="Times New Roman"/>
                <w:szCs w:val="21"/>
              </w:rPr>
              <w:t>31.584197439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734"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T10</w:t>
            </w:r>
            <w:r>
              <w:rPr>
                <w:rFonts w:ascii="Times New Roman" w:hAnsi="Times New Roman"/>
                <w:color w:val="000000"/>
                <w:szCs w:val="21"/>
              </w:rPr>
              <w:t>（</w:t>
            </w:r>
            <w:r>
              <w:rPr>
                <w:rFonts w:hint="eastAsia" w:ascii="Times New Roman" w:hAnsi="Times New Roman"/>
                <w:color w:val="000000"/>
                <w:szCs w:val="21"/>
                <w:lang w:val="en-US" w:eastAsia="zh-CN"/>
              </w:rPr>
              <w:t>D4</w:t>
            </w:r>
            <w:r>
              <w:rPr>
                <w:rFonts w:ascii="Times New Roman" w:hAnsi="Times New Roman"/>
                <w:color w:val="000000"/>
                <w:szCs w:val="21"/>
              </w:rPr>
              <w:t>）</w:t>
            </w:r>
          </w:p>
        </w:tc>
        <w:tc>
          <w:tcPr>
            <w:tcW w:w="1450" w:type="dxa"/>
            <w:vMerge w:val="continue"/>
            <w:vAlign w:val="center"/>
          </w:tcPr>
          <w:p>
            <w:pPr>
              <w:jc w:val="center"/>
              <w:rPr>
                <w:rFonts w:ascii="Times New Roman" w:hAnsi="Times New Roman"/>
                <w:szCs w:val="21"/>
              </w:rPr>
            </w:pPr>
          </w:p>
        </w:tc>
        <w:tc>
          <w:tcPr>
            <w:tcW w:w="1425" w:type="dxa"/>
            <w:vMerge w:val="continue"/>
            <w:vAlign w:val="center"/>
          </w:tcPr>
          <w:p>
            <w:pPr>
              <w:jc w:val="center"/>
              <w:rPr>
                <w:rFonts w:ascii="Times New Roman" w:hAnsi="Times New Roman"/>
                <w:szCs w:val="21"/>
              </w:rPr>
            </w:pPr>
          </w:p>
        </w:tc>
        <w:tc>
          <w:tcPr>
            <w:tcW w:w="1808" w:type="dxa"/>
            <w:vAlign w:val="center"/>
          </w:tcPr>
          <w:p>
            <w:pPr>
              <w:jc w:val="center"/>
              <w:rPr>
                <w:rFonts w:ascii="Times New Roman" w:hAnsi="Times New Roman"/>
                <w:szCs w:val="21"/>
              </w:rPr>
            </w:pPr>
            <w:r>
              <w:rPr>
                <w:rFonts w:hint="eastAsia" w:ascii="Times New Roman" w:hAnsi="Times New Roman"/>
                <w:szCs w:val="21"/>
              </w:rPr>
              <w:t>120.282139283</w:t>
            </w:r>
          </w:p>
        </w:tc>
        <w:tc>
          <w:tcPr>
            <w:tcW w:w="1889" w:type="dxa"/>
            <w:vAlign w:val="center"/>
          </w:tcPr>
          <w:p>
            <w:pPr>
              <w:jc w:val="center"/>
              <w:rPr>
                <w:rFonts w:ascii="Times New Roman" w:hAnsi="Times New Roman"/>
                <w:szCs w:val="21"/>
              </w:rPr>
            </w:pPr>
            <w:r>
              <w:rPr>
                <w:rFonts w:hint="eastAsia" w:ascii="Times New Roman" w:hAnsi="Times New Roman"/>
                <w:szCs w:val="21"/>
              </w:rPr>
              <w:t>31.584271790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34" w:type="dxa"/>
            <w:vAlign w:val="center"/>
          </w:tcPr>
          <w:p>
            <w:pPr>
              <w:jc w:val="center"/>
              <w:rPr>
                <w:rFonts w:hint="eastAsia" w:ascii="Times New Roman" w:hAnsi="Times New Roman" w:eastAsia="宋体"/>
                <w:szCs w:val="21"/>
                <w:lang w:eastAsia="zh-CN"/>
              </w:rPr>
            </w:pPr>
            <w:r>
              <w:rPr>
                <w:rFonts w:hint="eastAsia" w:ascii="Times New Roman" w:hAnsi="Times New Roman"/>
                <w:color w:val="000000"/>
                <w:szCs w:val="21"/>
                <w:lang w:val="en-US" w:eastAsia="zh-CN"/>
              </w:rPr>
              <w:t>T9</w:t>
            </w:r>
          </w:p>
        </w:tc>
        <w:tc>
          <w:tcPr>
            <w:tcW w:w="1450" w:type="dxa"/>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动力中心车间背景监测</w:t>
            </w:r>
          </w:p>
        </w:tc>
        <w:tc>
          <w:tcPr>
            <w:tcW w:w="1425" w:type="dxa"/>
            <w:vAlign w:val="center"/>
          </w:tcPr>
          <w:p>
            <w:pPr>
              <w:jc w:val="center"/>
              <w:rPr>
                <w:rFonts w:hint="eastAsia" w:ascii="Times New Roman" w:hAnsi="Times New Roman" w:eastAsia="宋体"/>
                <w:szCs w:val="21"/>
                <w:lang w:val="en-US" w:eastAsia="zh-CN"/>
              </w:rPr>
            </w:pPr>
            <w:r>
              <w:rPr>
                <w:rFonts w:hint="eastAsia" w:ascii="Times New Roman" w:hAnsi="Times New Roman"/>
                <w:szCs w:val="21"/>
                <w:lang w:val="en-US" w:eastAsia="zh-CN"/>
              </w:rPr>
              <w:t>/</w:t>
            </w:r>
          </w:p>
        </w:tc>
        <w:tc>
          <w:tcPr>
            <w:tcW w:w="1808" w:type="dxa"/>
            <w:vAlign w:val="center"/>
          </w:tcPr>
          <w:p>
            <w:pPr>
              <w:jc w:val="center"/>
              <w:rPr>
                <w:rFonts w:ascii="Times New Roman" w:hAnsi="Times New Roman"/>
                <w:szCs w:val="21"/>
              </w:rPr>
            </w:pPr>
            <w:r>
              <w:rPr>
                <w:rFonts w:hint="eastAsia" w:ascii="Times New Roman" w:hAnsi="Times New Roman"/>
                <w:szCs w:val="21"/>
              </w:rPr>
              <w:t>120.282352679</w:t>
            </w:r>
          </w:p>
        </w:tc>
        <w:tc>
          <w:tcPr>
            <w:tcW w:w="1889" w:type="dxa"/>
            <w:vAlign w:val="center"/>
          </w:tcPr>
          <w:p>
            <w:pPr>
              <w:jc w:val="center"/>
              <w:rPr>
                <w:rFonts w:ascii="Times New Roman" w:hAnsi="Times New Roman"/>
                <w:szCs w:val="21"/>
              </w:rPr>
            </w:pPr>
            <w:r>
              <w:rPr>
                <w:rFonts w:hint="eastAsia" w:ascii="Times New Roman" w:hAnsi="Times New Roman"/>
                <w:szCs w:val="21"/>
              </w:rPr>
              <w:t>31.584154953</w:t>
            </w:r>
          </w:p>
        </w:tc>
      </w:tr>
    </w:tbl>
    <w:p>
      <w:pPr>
        <w:keepNext/>
        <w:keepLines/>
        <w:widowControl/>
        <w:spacing w:before="156" w:beforeLines="50" w:after="156" w:afterLines="50" w:line="500" w:lineRule="exact"/>
        <w:contextualSpacing/>
        <w:outlineLvl w:val="1"/>
        <w:rPr>
          <w:rFonts w:ascii="Times New Roman" w:hAnsi="Times New Roman"/>
          <w:snapToGrid w:val="0"/>
          <w:kern w:val="0"/>
          <w:sz w:val="24"/>
          <w:szCs w:val="24"/>
        </w:rPr>
      </w:pPr>
      <w:bookmarkStart w:id="153" w:name="_Toc27788"/>
      <w:r>
        <w:rPr>
          <w:rFonts w:hint="eastAsia" w:ascii="Times New Roman" w:hAnsi="Times New Roman"/>
          <w:b/>
          <w:bCs/>
          <w:sz w:val="28"/>
          <w:szCs w:val="32"/>
        </w:rPr>
        <w:t>6.</w:t>
      </w:r>
      <w:r>
        <w:rPr>
          <w:rFonts w:ascii="Times New Roman" w:hAnsi="Times New Roman"/>
          <w:b/>
          <w:bCs/>
          <w:sz w:val="28"/>
          <w:szCs w:val="32"/>
        </w:rPr>
        <w:t>5</w:t>
      </w:r>
      <w:r>
        <w:rPr>
          <w:rFonts w:hint="eastAsia" w:ascii="Times New Roman" w:hAnsi="Times New Roman"/>
          <w:b/>
          <w:bCs/>
          <w:sz w:val="28"/>
          <w:szCs w:val="32"/>
        </w:rPr>
        <w:t>对照点</w:t>
      </w:r>
      <w:bookmarkEnd w:id="153"/>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指南中对照点布设要求如下：（1）应在企业外部区域或企业内远离各重点设施处布设至少1个土壤及地下水对照点。（2）对照点应保证不受企业生产过程影响且可以代表企业所在区域的土壤及地下水本底值。地下水对照点应设置在企业地下水的上游区域。</w:t>
      </w:r>
    </w:p>
    <w:p>
      <w:pPr>
        <w:widowControl/>
        <w:spacing w:line="500" w:lineRule="exact"/>
        <w:rPr>
          <w:rFonts w:ascii="Times New Roman" w:hAnsi="Times New Roman"/>
          <w:snapToGrid w:val="0"/>
          <w:kern w:val="0"/>
          <w:sz w:val="24"/>
          <w:szCs w:val="24"/>
        </w:rPr>
      </w:pPr>
      <w:r>
        <w:rPr>
          <w:rFonts w:ascii="Times New Roman" w:hAnsi="Times New Roman"/>
          <w:snapToGrid w:val="0"/>
          <w:kern w:val="0"/>
          <w:sz w:val="24"/>
          <w:szCs w:val="24"/>
        </w:rPr>
        <w:tab/>
      </w:r>
      <w:r>
        <w:rPr>
          <w:rFonts w:hint="eastAsia" w:ascii="Times New Roman" w:hAnsi="Times New Roman"/>
          <w:snapToGrid w:val="0"/>
          <w:kern w:val="0"/>
          <w:sz w:val="24"/>
          <w:szCs w:val="24"/>
          <w:lang w:val="en-US" w:eastAsia="zh-CN"/>
        </w:rPr>
        <w:t>由于企业在扬子产业园内，四周均为企业，只能在企业厂区外地下水上游位置布设</w:t>
      </w:r>
      <w:r>
        <w:rPr>
          <w:rFonts w:hint="eastAsia" w:ascii="Times New Roman" w:hAnsi="Times New Roman"/>
          <w:snapToGrid w:val="0"/>
          <w:kern w:val="0"/>
          <w:sz w:val="24"/>
          <w:szCs w:val="24"/>
        </w:rPr>
        <w:t>对照点，对照点坐标如表6.5-1所示，对照点采样点位如图6.5-1所示。</w:t>
      </w:r>
    </w:p>
    <w:p>
      <w:pPr>
        <w:jc w:val="center"/>
        <w:rPr>
          <w:rFonts w:ascii="Times New Roman" w:hAnsi="Times New Roman"/>
          <w:b/>
          <w:sz w:val="24"/>
          <w:szCs w:val="28"/>
        </w:rPr>
      </w:pPr>
      <w:r>
        <w:rPr>
          <w:rFonts w:hint="eastAsia" w:ascii="Times New Roman" w:hAnsi="Times New Roman"/>
          <w:b/>
          <w:sz w:val="24"/>
          <w:szCs w:val="28"/>
        </w:rPr>
        <w:t>表6.5-1</w:t>
      </w:r>
      <w:r>
        <w:rPr>
          <w:rFonts w:ascii="Times New Roman" w:hAnsi="Times New Roman"/>
          <w:b/>
          <w:sz w:val="24"/>
          <w:szCs w:val="28"/>
        </w:rPr>
        <w:t xml:space="preserve"> </w:t>
      </w:r>
      <w:r>
        <w:rPr>
          <w:rFonts w:hint="eastAsia" w:ascii="Times New Roman" w:hAnsi="Times New Roman"/>
          <w:b/>
          <w:sz w:val="24"/>
          <w:szCs w:val="28"/>
        </w:rPr>
        <w:t>对照点坐标</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2094"/>
        <w:gridCol w:w="781"/>
        <w:gridCol w:w="1808"/>
        <w:gridCol w:w="1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34" w:type="dxa"/>
            <w:vMerge w:val="restart"/>
            <w:vAlign w:val="center"/>
          </w:tcPr>
          <w:p>
            <w:pPr>
              <w:jc w:val="center"/>
              <w:rPr>
                <w:rFonts w:ascii="Times New Roman" w:hAnsi="Times New Roman"/>
                <w:b/>
                <w:szCs w:val="21"/>
              </w:rPr>
            </w:pPr>
            <w:r>
              <w:rPr>
                <w:rFonts w:ascii="Times New Roman" w:hAnsi="Times New Roman"/>
                <w:b/>
                <w:szCs w:val="21"/>
              </w:rPr>
              <w:t>点位</w:t>
            </w:r>
          </w:p>
          <w:p>
            <w:pPr>
              <w:jc w:val="center"/>
              <w:rPr>
                <w:rFonts w:ascii="Times New Roman" w:hAnsi="Times New Roman"/>
                <w:b/>
                <w:szCs w:val="21"/>
              </w:rPr>
            </w:pPr>
            <w:r>
              <w:rPr>
                <w:rFonts w:ascii="Times New Roman" w:hAnsi="Times New Roman"/>
                <w:b/>
                <w:szCs w:val="21"/>
              </w:rPr>
              <w:t>（重叠点位）</w:t>
            </w:r>
          </w:p>
        </w:tc>
        <w:tc>
          <w:tcPr>
            <w:tcW w:w="2094" w:type="dxa"/>
            <w:vMerge w:val="restart"/>
            <w:vAlign w:val="center"/>
          </w:tcPr>
          <w:p>
            <w:pPr>
              <w:jc w:val="center"/>
              <w:rPr>
                <w:rFonts w:ascii="Times New Roman" w:hAnsi="Times New Roman"/>
                <w:b/>
                <w:szCs w:val="21"/>
              </w:rPr>
            </w:pPr>
            <w:r>
              <w:rPr>
                <w:rFonts w:ascii="Times New Roman" w:hAnsi="Times New Roman"/>
                <w:b/>
                <w:szCs w:val="21"/>
              </w:rPr>
              <w:t>重点区域</w:t>
            </w:r>
          </w:p>
        </w:tc>
        <w:tc>
          <w:tcPr>
            <w:tcW w:w="781" w:type="dxa"/>
            <w:vMerge w:val="restart"/>
            <w:vAlign w:val="center"/>
          </w:tcPr>
          <w:p>
            <w:pPr>
              <w:jc w:val="center"/>
              <w:rPr>
                <w:rFonts w:ascii="Times New Roman" w:hAnsi="Times New Roman"/>
                <w:b/>
                <w:szCs w:val="21"/>
              </w:rPr>
            </w:pPr>
            <w:r>
              <w:rPr>
                <w:rFonts w:ascii="Times New Roman" w:hAnsi="Times New Roman"/>
                <w:b/>
                <w:szCs w:val="21"/>
              </w:rPr>
              <w:t>区域</w:t>
            </w:r>
          </w:p>
          <w:p>
            <w:pPr>
              <w:jc w:val="center"/>
              <w:rPr>
                <w:rFonts w:ascii="Times New Roman" w:hAnsi="Times New Roman"/>
                <w:b/>
                <w:szCs w:val="21"/>
              </w:rPr>
            </w:pPr>
            <w:r>
              <w:rPr>
                <w:rFonts w:ascii="Times New Roman" w:hAnsi="Times New Roman"/>
                <w:b/>
                <w:szCs w:val="21"/>
              </w:rPr>
              <w:t>编号*</w:t>
            </w:r>
          </w:p>
        </w:tc>
        <w:tc>
          <w:tcPr>
            <w:tcW w:w="3697" w:type="dxa"/>
            <w:gridSpan w:val="2"/>
            <w:vAlign w:val="center"/>
          </w:tcPr>
          <w:p>
            <w:pPr>
              <w:jc w:val="center"/>
              <w:rPr>
                <w:rFonts w:ascii="Times New Roman" w:hAnsi="Times New Roman"/>
                <w:b/>
                <w:szCs w:val="21"/>
              </w:rPr>
            </w:pPr>
            <w:r>
              <w:rPr>
                <w:rFonts w:hint="eastAsia" w:ascii="Times New Roman" w:hAnsi="Times New Roman"/>
                <w:b/>
                <w:szCs w:val="21"/>
              </w:rPr>
              <w:t>现场确定坐标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34" w:type="dxa"/>
            <w:vMerge w:val="continue"/>
            <w:vAlign w:val="center"/>
          </w:tcPr>
          <w:p>
            <w:pPr>
              <w:jc w:val="center"/>
              <w:rPr>
                <w:rFonts w:ascii="Times New Roman" w:hAnsi="Times New Roman"/>
                <w:b/>
                <w:szCs w:val="21"/>
              </w:rPr>
            </w:pPr>
          </w:p>
        </w:tc>
        <w:tc>
          <w:tcPr>
            <w:tcW w:w="2094" w:type="dxa"/>
            <w:vMerge w:val="continue"/>
            <w:vAlign w:val="center"/>
          </w:tcPr>
          <w:p>
            <w:pPr>
              <w:jc w:val="center"/>
              <w:rPr>
                <w:rFonts w:ascii="Times New Roman" w:hAnsi="Times New Roman"/>
                <w:b/>
                <w:szCs w:val="21"/>
              </w:rPr>
            </w:pPr>
          </w:p>
        </w:tc>
        <w:tc>
          <w:tcPr>
            <w:tcW w:w="781" w:type="dxa"/>
            <w:vMerge w:val="continue"/>
            <w:vAlign w:val="center"/>
          </w:tcPr>
          <w:p>
            <w:pPr>
              <w:jc w:val="center"/>
              <w:rPr>
                <w:rFonts w:ascii="Times New Roman" w:hAnsi="Times New Roman"/>
                <w:b/>
                <w:szCs w:val="21"/>
              </w:rPr>
            </w:pPr>
          </w:p>
        </w:tc>
        <w:tc>
          <w:tcPr>
            <w:tcW w:w="1808" w:type="dxa"/>
            <w:vAlign w:val="center"/>
          </w:tcPr>
          <w:p>
            <w:pPr>
              <w:jc w:val="center"/>
              <w:rPr>
                <w:rFonts w:ascii="Times New Roman" w:hAnsi="Times New Roman"/>
                <w:b/>
                <w:szCs w:val="21"/>
              </w:rPr>
            </w:pPr>
            <w:r>
              <w:rPr>
                <w:rFonts w:hint="eastAsia" w:ascii="Times New Roman" w:hAnsi="Times New Roman"/>
                <w:b/>
                <w:szCs w:val="21"/>
                <w:lang w:val="en-US" w:eastAsia="zh-CN"/>
              </w:rPr>
              <w:t>经度</w:t>
            </w:r>
          </w:p>
        </w:tc>
        <w:tc>
          <w:tcPr>
            <w:tcW w:w="1889" w:type="dxa"/>
            <w:vAlign w:val="center"/>
          </w:tcPr>
          <w:p>
            <w:pPr>
              <w:jc w:val="center"/>
              <w:rPr>
                <w:rFonts w:ascii="Times New Roman" w:hAnsi="Times New Roman"/>
                <w:b/>
                <w:szCs w:val="21"/>
              </w:rPr>
            </w:pPr>
            <w:r>
              <w:rPr>
                <w:rFonts w:hint="eastAsia" w:ascii="Times New Roman" w:hAnsi="Times New Roman"/>
                <w:b/>
                <w:szCs w:val="21"/>
                <w:lang w:val="en-US" w:eastAsia="zh-CN"/>
              </w:rPr>
              <w:t>纬度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vAlign w:val="center"/>
          </w:tcPr>
          <w:p>
            <w:pPr>
              <w:jc w:val="center"/>
              <w:rPr>
                <w:rFonts w:ascii="Times New Roman" w:hAnsi="Times New Roman"/>
                <w:szCs w:val="21"/>
              </w:rPr>
            </w:pPr>
            <w:r>
              <w:rPr>
                <w:rFonts w:hint="eastAsia" w:ascii="Times New Roman" w:hAnsi="Times New Roman"/>
                <w:color w:val="000000"/>
                <w:szCs w:val="21"/>
                <w:lang w:val="en-US" w:eastAsia="zh-CN"/>
              </w:rPr>
              <w:t>T0</w:t>
            </w:r>
            <w:r>
              <w:rPr>
                <w:rFonts w:ascii="Times New Roman" w:hAnsi="Times New Roman"/>
                <w:color w:val="000000"/>
                <w:szCs w:val="21"/>
              </w:rPr>
              <w:t>（</w:t>
            </w:r>
            <w:r>
              <w:rPr>
                <w:rFonts w:hint="eastAsia" w:ascii="Times New Roman" w:hAnsi="Times New Roman"/>
                <w:color w:val="000000"/>
                <w:szCs w:val="21"/>
                <w:lang w:val="en-US" w:eastAsia="zh-CN"/>
              </w:rPr>
              <w:t>D0</w:t>
            </w:r>
            <w:r>
              <w:rPr>
                <w:rFonts w:ascii="Times New Roman" w:hAnsi="Times New Roman"/>
                <w:color w:val="000000"/>
                <w:szCs w:val="21"/>
              </w:rPr>
              <w:t>）</w:t>
            </w:r>
          </w:p>
        </w:tc>
        <w:tc>
          <w:tcPr>
            <w:tcW w:w="2094" w:type="dxa"/>
            <w:vAlign w:val="center"/>
          </w:tcPr>
          <w:p>
            <w:pPr>
              <w:jc w:val="center"/>
              <w:rPr>
                <w:rFonts w:hint="default" w:ascii="Times New Roman" w:hAnsi="Times New Roman" w:eastAsia="宋体"/>
                <w:szCs w:val="21"/>
                <w:lang w:val="en-US" w:eastAsia="zh-CN"/>
              </w:rPr>
            </w:pPr>
            <w:r>
              <w:rPr>
                <w:rFonts w:ascii="Times New Roman" w:hAnsi="Times New Roman"/>
                <w:szCs w:val="21"/>
              </w:rPr>
              <w:t>厂区外</w:t>
            </w:r>
            <w:r>
              <w:rPr>
                <w:rFonts w:hint="eastAsia" w:ascii="Times New Roman" w:hAnsi="Times New Roman"/>
                <w:szCs w:val="21"/>
                <w:lang w:val="en-US" w:eastAsia="zh-CN"/>
              </w:rPr>
              <w:t>绿化地</w:t>
            </w:r>
          </w:p>
        </w:tc>
        <w:tc>
          <w:tcPr>
            <w:tcW w:w="781" w:type="dxa"/>
            <w:vAlign w:val="center"/>
          </w:tcPr>
          <w:p>
            <w:pPr>
              <w:jc w:val="center"/>
              <w:rPr>
                <w:rFonts w:ascii="Times New Roman" w:hAnsi="Times New Roman"/>
                <w:szCs w:val="21"/>
              </w:rPr>
            </w:pPr>
            <w:r>
              <w:rPr>
                <w:rFonts w:ascii="Times New Roman" w:hAnsi="Times New Roman"/>
                <w:szCs w:val="21"/>
              </w:rPr>
              <w:t>/</w:t>
            </w:r>
          </w:p>
        </w:tc>
        <w:tc>
          <w:tcPr>
            <w:tcW w:w="1808" w:type="dxa"/>
            <w:vAlign w:val="center"/>
          </w:tcPr>
          <w:p>
            <w:pPr>
              <w:jc w:val="center"/>
              <w:rPr>
                <w:rFonts w:ascii="Times New Roman" w:hAnsi="Times New Roman"/>
                <w:szCs w:val="21"/>
              </w:rPr>
            </w:pPr>
            <w:r>
              <w:rPr>
                <w:rFonts w:hint="eastAsia" w:ascii="Times New Roman" w:hAnsi="Times New Roman"/>
                <w:szCs w:val="21"/>
              </w:rPr>
              <w:t>120.281635242</w:t>
            </w:r>
          </w:p>
        </w:tc>
        <w:tc>
          <w:tcPr>
            <w:tcW w:w="1889" w:type="dxa"/>
            <w:vAlign w:val="center"/>
          </w:tcPr>
          <w:p>
            <w:pPr>
              <w:jc w:val="center"/>
              <w:rPr>
                <w:rFonts w:ascii="Times New Roman" w:hAnsi="Times New Roman"/>
                <w:szCs w:val="21"/>
              </w:rPr>
            </w:pPr>
            <w:r>
              <w:rPr>
                <w:rFonts w:hint="eastAsia" w:ascii="Times New Roman" w:hAnsi="Times New Roman"/>
                <w:szCs w:val="21"/>
              </w:rPr>
              <w:t>31.583056106</w:t>
            </w:r>
          </w:p>
        </w:tc>
      </w:tr>
    </w:tbl>
    <w:p>
      <w:pPr>
        <w:widowControl/>
        <w:jc w:val="center"/>
      </w:pPr>
    </w:p>
    <w:p>
      <w:pPr>
        <w:widowControl/>
        <w:jc w:val="center"/>
        <w:rPr>
          <w:rFonts w:ascii="Times New Roman" w:hAnsi="Times New Roman"/>
          <w:snapToGrid w:val="0"/>
          <w:kern w:val="0"/>
          <w:sz w:val="24"/>
          <w:szCs w:val="24"/>
        </w:rPr>
      </w:pPr>
      <w:r>
        <w:drawing>
          <wp:inline distT="0" distB="0" distL="114300" distR="114300">
            <wp:extent cx="5269865" cy="3715385"/>
            <wp:effectExtent l="0" t="0" r="635" b="5715"/>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24"/>
                    <a:stretch>
                      <a:fillRect/>
                    </a:stretch>
                  </pic:blipFill>
                  <pic:spPr>
                    <a:xfrm>
                      <a:off x="0" y="0"/>
                      <a:ext cx="5269865" cy="3715385"/>
                    </a:xfrm>
                    <a:prstGeom prst="rect">
                      <a:avLst/>
                    </a:prstGeom>
                    <a:noFill/>
                    <a:ln>
                      <a:noFill/>
                    </a:ln>
                  </pic:spPr>
                </pic:pic>
              </a:graphicData>
            </a:graphic>
          </wp:inline>
        </w:drawing>
      </w:r>
    </w:p>
    <w:p>
      <w:pPr>
        <w:widowControl/>
        <w:jc w:val="center"/>
        <w:rPr>
          <w:rFonts w:ascii="Times New Roman" w:hAnsi="Times New Roman"/>
          <w:snapToGrid w:val="0"/>
          <w:kern w:val="0"/>
          <w:sz w:val="24"/>
          <w:szCs w:val="24"/>
        </w:rPr>
      </w:pPr>
      <w:r>
        <w:rPr>
          <w:rFonts w:hint="eastAsia" w:ascii="Times New Roman" w:hAnsi="Times New Roman"/>
          <w:b/>
          <w:sz w:val="24"/>
          <w:szCs w:val="28"/>
        </w:rPr>
        <w:t>表6.5-1</w:t>
      </w:r>
      <w:r>
        <w:rPr>
          <w:rFonts w:ascii="Times New Roman" w:hAnsi="Times New Roman"/>
          <w:b/>
          <w:sz w:val="24"/>
          <w:szCs w:val="28"/>
        </w:rPr>
        <w:t xml:space="preserve"> </w:t>
      </w:r>
      <w:r>
        <w:rPr>
          <w:rFonts w:hint="eastAsia" w:ascii="Times New Roman" w:hAnsi="Times New Roman"/>
          <w:b/>
          <w:sz w:val="24"/>
          <w:szCs w:val="28"/>
        </w:rPr>
        <w:t>对照点采样点位</w:t>
      </w:r>
    </w:p>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pPr>
    </w:p>
    <w:p>
      <w:pPr>
        <w:widowControl/>
        <w:spacing w:line="500" w:lineRule="exact"/>
        <w:ind w:firstLine="420"/>
        <w:rPr>
          <w:rFonts w:ascii="Times New Roman" w:hAnsi="Times New Roman"/>
          <w:snapToGrid w:val="0"/>
          <w:kern w:val="0"/>
          <w:sz w:val="24"/>
          <w:szCs w:val="24"/>
        </w:rPr>
        <w:sectPr>
          <w:pgSz w:w="11906" w:h="16838"/>
          <w:pgMar w:top="1440" w:right="1800" w:bottom="1440" w:left="1800" w:header="851" w:footer="992" w:gutter="0"/>
          <w:cols w:space="425" w:num="1"/>
          <w:docGrid w:type="lines" w:linePitch="312" w:charSpace="0"/>
        </w:sectPr>
      </w:pPr>
    </w:p>
    <w:p>
      <w:pPr>
        <w:keepNext/>
        <w:keepLines/>
        <w:spacing w:line="500" w:lineRule="exact"/>
        <w:outlineLvl w:val="0"/>
        <w:rPr>
          <w:rFonts w:ascii="Times New Roman" w:hAnsi="Times New Roman"/>
          <w:b/>
          <w:bCs/>
          <w:kern w:val="44"/>
          <w:sz w:val="36"/>
          <w:szCs w:val="44"/>
        </w:rPr>
      </w:pPr>
      <w:bookmarkStart w:id="154" w:name="_Toc13847400"/>
      <w:bookmarkStart w:id="155" w:name="_Toc531519948"/>
      <w:bookmarkStart w:id="156" w:name="_Toc534203201"/>
      <w:bookmarkStart w:id="157" w:name="_Toc10122"/>
      <w:r>
        <w:rPr>
          <w:rFonts w:hint="eastAsia" w:ascii="Times New Roman" w:hAnsi="Times New Roman"/>
          <w:b/>
          <w:bCs/>
          <w:kern w:val="44"/>
          <w:sz w:val="36"/>
          <w:szCs w:val="44"/>
        </w:rPr>
        <w:t>7</w:t>
      </w:r>
      <w:r>
        <w:rPr>
          <w:rFonts w:ascii="Times New Roman" w:hAnsi="Times New Roman"/>
          <w:b/>
          <w:bCs/>
          <w:kern w:val="44"/>
          <w:sz w:val="36"/>
          <w:szCs w:val="44"/>
        </w:rPr>
        <w:t xml:space="preserve"> </w:t>
      </w:r>
      <w:r>
        <w:rPr>
          <w:rFonts w:hint="eastAsia" w:ascii="Times New Roman" w:hAnsi="Times New Roman"/>
          <w:b/>
          <w:bCs/>
          <w:kern w:val="44"/>
          <w:sz w:val="36"/>
          <w:szCs w:val="44"/>
        </w:rPr>
        <w:t>监测因子</w:t>
      </w:r>
      <w:bookmarkEnd w:id="154"/>
      <w:bookmarkEnd w:id="155"/>
      <w:bookmarkEnd w:id="156"/>
      <w:bookmarkEnd w:id="157"/>
    </w:p>
    <w:p>
      <w:pPr>
        <w:keepNext/>
        <w:keepLines/>
        <w:widowControl/>
        <w:spacing w:before="156" w:beforeLines="50" w:after="156" w:afterLines="50" w:line="500" w:lineRule="exact"/>
        <w:contextualSpacing/>
        <w:outlineLvl w:val="1"/>
        <w:rPr>
          <w:rFonts w:ascii="Times New Roman" w:hAnsi="Times New Roman"/>
          <w:snapToGrid w:val="0"/>
          <w:kern w:val="0"/>
          <w:sz w:val="24"/>
          <w:szCs w:val="24"/>
        </w:rPr>
      </w:pPr>
      <w:bookmarkStart w:id="158" w:name="_Toc13847401"/>
      <w:bookmarkStart w:id="159" w:name="_Toc534203202"/>
      <w:bookmarkStart w:id="160" w:name="_Toc531519949"/>
      <w:bookmarkStart w:id="161" w:name="_Toc25651"/>
      <w:r>
        <w:rPr>
          <w:rFonts w:hint="eastAsia" w:ascii="Times New Roman" w:hAnsi="Times New Roman"/>
          <w:b/>
          <w:bCs/>
          <w:sz w:val="28"/>
          <w:szCs w:val="32"/>
        </w:rPr>
        <w:t>7.1监测因子筛选原则</w:t>
      </w:r>
      <w:bookmarkEnd w:id="158"/>
      <w:bookmarkEnd w:id="159"/>
      <w:bookmarkEnd w:id="160"/>
      <w:bookmarkEnd w:id="161"/>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（1）各行业常见污染物类型及对应的分析测试项目参见表7.1-1和表7.1-2（需测试每个重点设施或重点区域涉及的所有关注污染物，不同设施或区域的分析测试项目可以不同）。</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（2）表7.1-2未提及其所属行业的企业，应根据各重点设施或重点区域具体情况自行选择分析测试项目。</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3）对于以下分析测试项目，企业应在自行监测方案中说明选取或未选取的原因：企业认为重点设施或重点区域中不存在因而不需监测的行业常见污染物；表7.1-2未提及企业所属行业，由企业自行选择分析测试的关注污染物。</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（4）不能说明原因或理由不充分的，应对全部分析测试项目进行测试。</w:t>
      </w:r>
    </w:p>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sectPr>
          <w:pgSz w:w="11906" w:h="16838"/>
          <w:pgMar w:top="1440" w:right="1800" w:bottom="1440" w:left="1800" w:header="851" w:footer="992" w:gutter="0"/>
          <w:cols w:space="425" w:num="1"/>
          <w:docGrid w:type="lines" w:linePitch="312" w:charSpace="0"/>
        </w:sectPr>
      </w:pPr>
    </w:p>
    <w:p>
      <w:pPr>
        <w:pStyle w:val="8"/>
        <w:spacing w:before="7"/>
        <w:jc w:val="center"/>
        <w:rPr>
          <w:rFonts w:ascii="Times New Roman" w:hAnsi="Times New Roman" w:cs="Times New Roman"/>
          <w:b/>
          <w:snapToGrid w:val="0"/>
          <w:sz w:val="24"/>
          <w:szCs w:val="24"/>
          <w:lang w:eastAsia="zh-CN"/>
        </w:rPr>
      </w:pPr>
      <w:r>
        <w:rPr>
          <w:rFonts w:ascii="Times New Roman" w:hAnsi="Times New Roman" w:cs="Times New Roman"/>
          <w:b/>
          <w:snapToGrid w:val="0"/>
          <w:sz w:val="24"/>
          <w:szCs w:val="24"/>
          <w:lang w:eastAsia="zh-CN"/>
        </w:rPr>
        <w:t>表7.1-1 污染物类别及对应分析测试项目</w:t>
      </w:r>
    </w:p>
    <w:tbl>
      <w:tblPr>
        <w:tblStyle w:val="18"/>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942"/>
        <w:gridCol w:w="1052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2942" w:type="dxa"/>
            <w:vAlign w:val="center"/>
          </w:tcPr>
          <w:p>
            <w:pPr>
              <w:pStyle w:val="38"/>
              <w:spacing w:before="118"/>
              <w:jc w:val="center"/>
              <w:rPr>
                <w:rFonts w:ascii="Times New Roman" w:hAnsi="Times New Roman" w:cs="Times New Roman"/>
                <w:b/>
                <w:sz w:val="18"/>
              </w:rPr>
            </w:pPr>
            <w:r>
              <w:rPr>
                <w:rFonts w:ascii="Times New Roman" w:hAnsi="Times New Roman" w:cs="Times New Roman"/>
                <w:b/>
                <w:sz w:val="18"/>
              </w:rPr>
              <w:t>污染物类别</w:t>
            </w:r>
          </w:p>
        </w:tc>
        <w:tc>
          <w:tcPr>
            <w:tcW w:w="10520" w:type="dxa"/>
            <w:vAlign w:val="center"/>
          </w:tcPr>
          <w:p>
            <w:pPr>
              <w:pStyle w:val="38"/>
              <w:spacing w:before="118"/>
              <w:ind w:right="4270"/>
              <w:rPr>
                <w:rFonts w:ascii="Times New Roman" w:hAnsi="Times New Roman" w:cs="Times New Roman"/>
                <w:b/>
                <w:sz w:val="18"/>
              </w:rPr>
            </w:pPr>
            <w:r>
              <w:rPr>
                <w:rFonts w:ascii="Times New Roman" w:hAnsi="Times New Roman" w:cs="Times New Roman"/>
                <w:b/>
                <w:sz w:val="18"/>
              </w:rPr>
              <w:t>对应分析测试项目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2942" w:type="dxa"/>
            <w:vAlign w:val="center"/>
          </w:tcPr>
          <w:p>
            <w:pPr>
              <w:pStyle w:val="38"/>
              <w:spacing w:before="2"/>
              <w:rPr>
                <w:rFonts w:ascii="Times New Roman" w:hAnsi="Times New Roman" w:cs="Times New Roman"/>
                <w:sz w:val="18"/>
              </w:rPr>
            </w:pPr>
            <w:r>
              <w:rPr>
                <w:rFonts w:ascii="Times New Roman" w:hAnsi="Times New Roman" w:cs="Times New Roman"/>
                <w:sz w:val="18"/>
              </w:rPr>
              <w:t>A1 类-重金属 8 种</w:t>
            </w:r>
          </w:p>
        </w:tc>
        <w:tc>
          <w:tcPr>
            <w:tcW w:w="10520" w:type="dxa"/>
            <w:vAlign w:val="center"/>
          </w:tcPr>
          <w:p>
            <w:pPr>
              <w:pStyle w:val="38"/>
              <w:spacing w:before="2"/>
              <w:rPr>
                <w:rFonts w:ascii="Times New Roman" w:hAnsi="Times New Roman" w:cs="Times New Roman"/>
                <w:sz w:val="18"/>
                <w:lang w:eastAsia="zh-CN"/>
              </w:rPr>
            </w:pPr>
            <w:r>
              <w:rPr>
                <w:rFonts w:ascii="Times New Roman" w:hAnsi="Times New Roman" w:cs="Times New Roman"/>
                <w:sz w:val="18"/>
                <w:lang w:eastAsia="zh-CN"/>
              </w:rPr>
              <w:t>镉、铅、铬、铜、锌、镍、汞、砷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2942" w:type="dxa"/>
            <w:vAlign w:val="center"/>
          </w:tcPr>
          <w:p>
            <w:pPr>
              <w:pStyle w:val="38"/>
              <w:spacing w:before="1"/>
              <w:rPr>
                <w:rFonts w:ascii="Times New Roman" w:hAnsi="Times New Roman" w:cs="Times New Roman"/>
                <w:sz w:val="18"/>
              </w:rPr>
            </w:pPr>
            <w:r>
              <w:rPr>
                <w:rFonts w:ascii="Times New Roman" w:hAnsi="Times New Roman" w:cs="Times New Roman"/>
                <w:sz w:val="18"/>
              </w:rPr>
              <w:t>A2 类-重金属与元素 8 种</w:t>
            </w:r>
          </w:p>
        </w:tc>
        <w:tc>
          <w:tcPr>
            <w:tcW w:w="10520" w:type="dxa"/>
            <w:vAlign w:val="center"/>
          </w:tcPr>
          <w:p>
            <w:pPr>
              <w:pStyle w:val="38"/>
              <w:spacing w:before="1"/>
              <w:rPr>
                <w:rFonts w:ascii="Times New Roman" w:hAnsi="Times New Roman" w:cs="Times New Roman"/>
                <w:sz w:val="18"/>
                <w:lang w:eastAsia="zh-CN"/>
              </w:rPr>
            </w:pPr>
            <w:r>
              <w:rPr>
                <w:rFonts w:ascii="Times New Roman" w:hAnsi="Times New Roman" w:cs="Times New Roman"/>
                <w:sz w:val="18"/>
                <w:lang w:eastAsia="zh-CN"/>
              </w:rPr>
              <w:t>锰、钴、硒、钒、锑、铊、铍、钼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2942" w:type="dxa"/>
            <w:vAlign w:val="center"/>
          </w:tcPr>
          <w:p>
            <w:pPr>
              <w:pStyle w:val="38"/>
              <w:spacing w:before="1"/>
              <w:rPr>
                <w:rFonts w:ascii="Times New Roman" w:hAnsi="Times New Roman" w:cs="Times New Roman"/>
                <w:sz w:val="18"/>
              </w:rPr>
            </w:pPr>
            <w:r>
              <w:rPr>
                <w:rFonts w:ascii="Times New Roman" w:hAnsi="Times New Roman" w:cs="Times New Roman"/>
                <w:sz w:val="18"/>
              </w:rPr>
              <w:t>A3 类-无机物 2 种</w:t>
            </w:r>
          </w:p>
        </w:tc>
        <w:tc>
          <w:tcPr>
            <w:tcW w:w="10520" w:type="dxa"/>
            <w:vAlign w:val="center"/>
          </w:tcPr>
          <w:p>
            <w:pPr>
              <w:pStyle w:val="38"/>
              <w:spacing w:before="1"/>
              <w:rPr>
                <w:rFonts w:ascii="Times New Roman" w:hAnsi="Times New Roman" w:cs="Times New Roman"/>
                <w:sz w:val="18"/>
              </w:rPr>
            </w:pPr>
            <w:r>
              <w:rPr>
                <w:rFonts w:ascii="Times New Roman" w:hAnsi="Times New Roman" w:cs="Times New Roman"/>
                <w:sz w:val="18"/>
              </w:rPr>
              <w:t>氰化物、氟化物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2942" w:type="dxa"/>
            <w:vAlign w:val="center"/>
          </w:tcPr>
          <w:p>
            <w:pPr>
              <w:pStyle w:val="38"/>
              <w:spacing w:before="174"/>
              <w:rPr>
                <w:rFonts w:ascii="Times New Roman" w:hAnsi="Times New Roman" w:cs="Times New Roman"/>
                <w:sz w:val="18"/>
              </w:rPr>
            </w:pPr>
            <w:r>
              <w:rPr>
                <w:rFonts w:ascii="Times New Roman" w:hAnsi="Times New Roman" w:cs="Times New Roman"/>
                <w:sz w:val="18"/>
              </w:rPr>
              <w:t>B1 类-挥发性有机物 16 种</w:t>
            </w:r>
          </w:p>
        </w:tc>
        <w:tc>
          <w:tcPr>
            <w:tcW w:w="10520" w:type="dxa"/>
            <w:vAlign w:val="center"/>
          </w:tcPr>
          <w:p>
            <w:pPr>
              <w:pStyle w:val="38"/>
              <w:spacing w:before="1"/>
              <w:rPr>
                <w:rFonts w:ascii="Times New Roman" w:hAnsi="Times New Roman" w:cs="Times New Roman"/>
                <w:sz w:val="18"/>
              </w:rPr>
            </w:pPr>
            <w:r>
              <w:rPr>
                <w:rFonts w:ascii="Times New Roman" w:hAnsi="Times New Roman" w:cs="Times New Roman"/>
                <w:sz w:val="18"/>
              </w:rPr>
              <w:t>二氯乙烯、二氯甲烷、二氯乙烷、氯仿、三氯乙烷、四氯化碳、二氯丙烷、三氯乙烯、三氯乙烷、四氯乙烯、四氯乙烷、二溴氯甲烷、溴仿、三氯丙烷、六氯丁二烯、六氯乙烷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2942" w:type="dxa"/>
            <w:vAlign w:val="center"/>
          </w:tcPr>
          <w:p>
            <w:pPr>
              <w:pStyle w:val="38"/>
              <w:spacing w:before="2"/>
              <w:rPr>
                <w:rFonts w:ascii="Times New Roman" w:hAnsi="Times New Roman" w:cs="Times New Roman"/>
                <w:sz w:val="18"/>
              </w:rPr>
            </w:pPr>
            <w:r>
              <w:rPr>
                <w:rFonts w:ascii="Times New Roman" w:hAnsi="Times New Roman" w:cs="Times New Roman"/>
                <w:sz w:val="18"/>
              </w:rPr>
              <w:t>B2 类-挥发性有机物 9 种</w:t>
            </w:r>
          </w:p>
        </w:tc>
        <w:tc>
          <w:tcPr>
            <w:tcW w:w="10520" w:type="dxa"/>
            <w:vAlign w:val="center"/>
          </w:tcPr>
          <w:p>
            <w:pPr>
              <w:pStyle w:val="38"/>
              <w:spacing w:before="2"/>
              <w:rPr>
                <w:rFonts w:ascii="Times New Roman" w:hAnsi="Times New Roman" w:cs="Times New Roman"/>
                <w:sz w:val="18"/>
              </w:rPr>
            </w:pPr>
            <w:r>
              <w:rPr>
                <w:rFonts w:ascii="Times New Roman" w:hAnsi="Times New Roman" w:cs="Times New Roman"/>
                <w:sz w:val="18"/>
              </w:rPr>
              <w:t>苯、甲苯、氯苯、乙苯、二甲苯、苯乙烯、三甲苯、二氯苯、三氯苯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2942" w:type="dxa"/>
            <w:vAlign w:val="center"/>
          </w:tcPr>
          <w:p>
            <w:pPr>
              <w:pStyle w:val="38"/>
              <w:spacing w:before="2"/>
              <w:rPr>
                <w:rFonts w:ascii="Times New Roman" w:hAnsi="Times New Roman" w:cs="Times New Roman"/>
                <w:sz w:val="18"/>
                <w:lang w:eastAsia="zh-CN"/>
              </w:rPr>
            </w:pPr>
            <w:r>
              <w:rPr>
                <w:rFonts w:ascii="Times New Roman" w:hAnsi="Times New Roman" w:cs="Times New Roman"/>
                <w:sz w:val="18"/>
                <w:lang w:eastAsia="zh-CN"/>
              </w:rPr>
              <w:t>B3 类-半挥发性有机物 1 种</w:t>
            </w:r>
          </w:p>
        </w:tc>
        <w:tc>
          <w:tcPr>
            <w:tcW w:w="10520" w:type="dxa"/>
            <w:vAlign w:val="center"/>
          </w:tcPr>
          <w:p>
            <w:pPr>
              <w:pStyle w:val="38"/>
              <w:spacing w:before="2"/>
              <w:rPr>
                <w:rFonts w:ascii="Times New Roman" w:hAnsi="Times New Roman" w:cs="Times New Roman"/>
                <w:sz w:val="18"/>
              </w:rPr>
            </w:pPr>
            <w:r>
              <w:rPr>
                <w:rFonts w:ascii="Times New Roman" w:hAnsi="Times New Roman" w:cs="Times New Roman"/>
                <w:sz w:val="18"/>
              </w:rPr>
              <w:t>硝基苯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2942" w:type="dxa"/>
            <w:vAlign w:val="center"/>
          </w:tcPr>
          <w:p>
            <w:pPr>
              <w:pStyle w:val="38"/>
              <w:spacing w:before="2"/>
              <w:rPr>
                <w:rFonts w:ascii="Times New Roman" w:hAnsi="Times New Roman" w:cs="Times New Roman"/>
                <w:sz w:val="18"/>
                <w:lang w:eastAsia="zh-CN"/>
              </w:rPr>
            </w:pPr>
            <w:r>
              <w:rPr>
                <w:rFonts w:ascii="Times New Roman" w:hAnsi="Times New Roman" w:cs="Times New Roman"/>
                <w:sz w:val="18"/>
                <w:lang w:eastAsia="zh-CN"/>
              </w:rPr>
              <w:t>B4 类-半挥发性有机物 4 种</w:t>
            </w:r>
          </w:p>
        </w:tc>
        <w:tc>
          <w:tcPr>
            <w:tcW w:w="10520" w:type="dxa"/>
            <w:vAlign w:val="center"/>
          </w:tcPr>
          <w:p>
            <w:pPr>
              <w:pStyle w:val="38"/>
              <w:spacing w:before="2"/>
              <w:rPr>
                <w:rFonts w:ascii="Times New Roman" w:hAnsi="Times New Roman" w:cs="Times New Roman"/>
                <w:sz w:val="18"/>
              </w:rPr>
            </w:pPr>
            <w:r>
              <w:rPr>
                <w:rFonts w:ascii="Times New Roman" w:hAnsi="Times New Roman" w:cs="Times New Roman"/>
                <w:sz w:val="18"/>
              </w:rPr>
              <w:t>苯酚、硝基酚、二甲基酚、二氯酚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2942" w:type="dxa"/>
            <w:vAlign w:val="center"/>
          </w:tcPr>
          <w:p>
            <w:pPr>
              <w:pStyle w:val="38"/>
              <w:spacing w:before="176"/>
              <w:rPr>
                <w:rFonts w:ascii="Times New Roman" w:hAnsi="Times New Roman" w:cs="Times New Roman"/>
                <w:sz w:val="18"/>
              </w:rPr>
            </w:pPr>
            <w:r>
              <w:rPr>
                <w:rFonts w:ascii="Times New Roman" w:hAnsi="Times New Roman" w:cs="Times New Roman"/>
                <w:sz w:val="18"/>
              </w:rPr>
              <w:t>C1 类-多环芳烃类 15 种</w:t>
            </w:r>
          </w:p>
        </w:tc>
        <w:tc>
          <w:tcPr>
            <w:tcW w:w="10520" w:type="dxa"/>
            <w:vAlign w:val="center"/>
          </w:tcPr>
          <w:p>
            <w:pPr>
              <w:pStyle w:val="38"/>
              <w:spacing w:before="1"/>
              <w:rPr>
                <w:rFonts w:ascii="Times New Roman" w:hAnsi="Times New Roman" w:cs="Times New Roman"/>
                <w:sz w:val="18"/>
              </w:rPr>
            </w:pPr>
            <w:r>
              <w:rPr>
                <w:rFonts w:ascii="Times New Roman" w:hAnsi="Times New Roman" w:cs="Times New Roman"/>
                <w:sz w:val="18"/>
              </w:rPr>
              <w:t>苊烯、苊、芴、菲、蒽、荧蒽、芘、苯并[a]蒽、屈、苯并[b]荧蒽、苯并[k]荧蒽、苯并[a]芘、茚并[1,2,3-c,d]芘、二苯并[a,h]蒽、苯并[g,h,i]苝</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2942" w:type="dxa"/>
            <w:vAlign w:val="center"/>
          </w:tcPr>
          <w:p>
            <w:pPr>
              <w:pStyle w:val="38"/>
              <w:spacing w:before="1"/>
              <w:rPr>
                <w:rFonts w:ascii="Times New Roman" w:hAnsi="Times New Roman" w:cs="Times New Roman"/>
                <w:sz w:val="18"/>
                <w:lang w:eastAsia="zh-CN"/>
              </w:rPr>
            </w:pPr>
            <w:r>
              <w:rPr>
                <w:rFonts w:ascii="Times New Roman" w:hAnsi="Times New Roman" w:cs="Times New Roman"/>
                <w:sz w:val="18"/>
                <w:lang w:eastAsia="zh-CN"/>
              </w:rPr>
              <w:t>C2 类-农药和持久性有机物</w:t>
            </w:r>
          </w:p>
        </w:tc>
        <w:tc>
          <w:tcPr>
            <w:tcW w:w="10520" w:type="dxa"/>
            <w:vAlign w:val="center"/>
          </w:tcPr>
          <w:p>
            <w:pPr>
              <w:pStyle w:val="38"/>
              <w:spacing w:before="1"/>
              <w:rPr>
                <w:rFonts w:ascii="Times New Roman" w:hAnsi="Times New Roman" w:cs="Times New Roman"/>
                <w:sz w:val="18"/>
                <w:lang w:eastAsia="zh-CN"/>
              </w:rPr>
            </w:pPr>
            <w:r>
              <w:rPr>
                <w:rFonts w:ascii="Times New Roman" w:hAnsi="Times New Roman" w:cs="Times New Roman"/>
                <w:sz w:val="18"/>
                <w:lang w:eastAsia="zh-CN"/>
              </w:rPr>
              <w:t>滴滴涕、六六六、氯丹、灭蚁灵、六氯苯、七氯、三氯杀螨醇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2942" w:type="dxa"/>
            <w:vAlign w:val="center"/>
          </w:tcPr>
          <w:p>
            <w:pPr>
              <w:pStyle w:val="38"/>
              <w:spacing w:before="1"/>
              <w:rPr>
                <w:rFonts w:ascii="Times New Roman" w:hAnsi="Times New Roman" w:cs="Times New Roman"/>
                <w:sz w:val="18"/>
              </w:rPr>
            </w:pPr>
            <w:r>
              <w:rPr>
                <w:rFonts w:ascii="Times New Roman" w:hAnsi="Times New Roman" w:cs="Times New Roman"/>
                <w:sz w:val="18"/>
              </w:rPr>
              <w:t>C3 类-石油烃</w:t>
            </w:r>
          </w:p>
        </w:tc>
        <w:tc>
          <w:tcPr>
            <w:tcW w:w="10520" w:type="dxa"/>
            <w:vAlign w:val="center"/>
          </w:tcPr>
          <w:p>
            <w:pPr>
              <w:pStyle w:val="38"/>
              <w:spacing w:before="5"/>
              <w:rPr>
                <w:rFonts w:ascii="Times New Roman" w:hAnsi="Times New Roman" w:cs="Times New Roman"/>
                <w:sz w:val="18"/>
              </w:rPr>
            </w:pPr>
            <w:r>
              <w:rPr>
                <w:rFonts w:ascii="Times New Roman" w:hAnsi="Times New Roman" w:cs="Times New Roman"/>
                <w:position w:val="1"/>
                <w:sz w:val="18"/>
              </w:rPr>
              <w:t>C</w:t>
            </w:r>
            <w:r>
              <w:rPr>
                <w:rFonts w:ascii="Times New Roman" w:hAnsi="Times New Roman" w:cs="Times New Roman"/>
                <w:position w:val="1"/>
                <w:sz w:val="18"/>
                <w:vertAlign w:val="subscript"/>
              </w:rPr>
              <w:t>10</w:t>
            </w:r>
            <w:r>
              <w:rPr>
                <w:rFonts w:ascii="Times New Roman" w:hAnsi="Times New Roman" w:cs="Times New Roman"/>
                <w:position w:val="1"/>
                <w:sz w:val="18"/>
              </w:rPr>
              <w:t>-C</w:t>
            </w:r>
            <w:r>
              <w:rPr>
                <w:rFonts w:ascii="Times New Roman" w:hAnsi="Times New Roman" w:cs="Times New Roman"/>
                <w:position w:val="1"/>
                <w:sz w:val="18"/>
                <w:vertAlign w:val="subscript"/>
              </w:rPr>
              <w:t>40</w:t>
            </w:r>
            <w:r>
              <w:rPr>
                <w:rFonts w:ascii="Times New Roman" w:hAnsi="Times New Roman" w:cs="Times New Roman"/>
                <w:position w:val="1"/>
                <w:sz w:val="18"/>
              </w:rPr>
              <w:t xml:space="preserve"> 总量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51" w:hRule="atLeast"/>
          <w:jc w:val="center"/>
        </w:trPr>
        <w:tc>
          <w:tcPr>
            <w:tcW w:w="2942" w:type="dxa"/>
            <w:vAlign w:val="center"/>
          </w:tcPr>
          <w:p>
            <w:pPr>
              <w:pStyle w:val="38"/>
              <w:rPr>
                <w:rFonts w:ascii="Times New Roman" w:hAnsi="Times New Roman" w:cs="Times New Roman"/>
                <w:sz w:val="18"/>
              </w:rPr>
            </w:pPr>
            <w:r>
              <w:rPr>
                <w:rFonts w:ascii="Times New Roman" w:hAnsi="Times New Roman" w:cs="Times New Roman"/>
                <w:sz w:val="18"/>
              </w:rPr>
              <w:t>C4 类-多氯联苯 12 种</w:t>
            </w:r>
          </w:p>
        </w:tc>
        <w:tc>
          <w:tcPr>
            <w:tcW w:w="10520" w:type="dxa"/>
            <w:vAlign w:val="center"/>
          </w:tcPr>
          <w:p>
            <w:pPr>
              <w:pStyle w:val="38"/>
              <w:spacing w:before="1"/>
              <w:ind w:right="-15"/>
              <w:rPr>
                <w:rFonts w:ascii="Times New Roman" w:hAnsi="Times New Roman" w:cs="Times New Roman"/>
                <w:sz w:val="18"/>
                <w:lang w:eastAsia="zh-CN"/>
              </w:rPr>
            </w:pPr>
            <w:r>
              <w:rPr>
                <w:rFonts w:ascii="Times New Roman" w:hAnsi="Times New Roman" w:cs="Times New Roman"/>
                <w:spacing w:val="1"/>
                <w:sz w:val="18"/>
                <w:lang w:eastAsia="zh-CN"/>
              </w:rPr>
              <w:t>2</w:t>
            </w:r>
            <w:r>
              <w:rPr>
                <w:rFonts w:ascii="Times New Roman" w:hAnsi="Times New Roman" w:cs="Times New Roman"/>
                <w:sz w:val="18"/>
                <w:lang w:eastAsia="zh-CN"/>
              </w:rPr>
              <w:t>,</w:t>
            </w:r>
            <w:r>
              <w:rPr>
                <w:rFonts w:ascii="Times New Roman" w:hAnsi="Times New Roman" w:cs="Times New Roman"/>
                <w:spacing w:val="-2"/>
                <w:sz w:val="18"/>
                <w:lang w:eastAsia="zh-CN"/>
              </w:rPr>
              <w:t>3</w:t>
            </w:r>
            <w:r>
              <w:rPr>
                <w:rFonts w:ascii="Times New Roman" w:hAnsi="Times New Roman" w:cs="Times New Roman"/>
                <w:sz w:val="18"/>
                <w:lang w:eastAsia="zh-CN"/>
              </w:rPr>
              <w:t>,</w:t>
            </w:r>
            <w:r>
              <w:rPr>
                <w:rFonts w:ascii="Times New Roman" w:hAnsi="Times New Roman" w:cs="Times New Roman"/>
                <w:spacing w:val="-2"/>
                <w:sz w:val="18"/>
                <w:lang w:eastAsia="zh-CN"/>
              </w:rPr>
              <w:t>3'</w:t>
            </w:r>
            <w:r>
              <w:rPr>
                <w:rFonts w:ascii="Times New Roman" w:hAnsi="Times New Roman" w:cs="Times New Roman"/>
                <w:sz w:val="18"/>
                <w:lang w:eastAsia="zh-CN"/>
              </w:rPr>
              <w:t>,</w:t>
            </w:r>
            <w:r>
              <w:rPr>
                <w:rFonts w:ascii="Times New Roman" w:hAnsi="Times New Roman" w:cs="Times New Roman"/>
                <w:spacing w:val="1"/>
                <w:sz w:val="18"/>
                <w:lang w:eastAsia="zh-CN"/>
              </w:rPr>
              <w:t>4</w:t>
            </w:r>
            <w:r>
              <w:rPr>
                <w:rFonts w:ascii="Times New Roman" w:hAnsi="Times New Roman" w:cs="Times New Roman"/>
                <w:sz w:val="18"/>
                <w:lang w:eastAsia="zh-CN"/>
              </w:rPr>
              <w:t>,</w:t>
            </w:r>
            <w:r>
              <w:rPr>
                <w:rFonts w:ascii="Times New Roman" w:hAnsi="Times New Roman" w:cs="Times New Roman"/>
                <w:spacing w:val="1"/>
                <w:sz w:val="18"/>
                <w:lang w:eastAsia="zh-CN"/>
              </w:rPr>
              <w:t>4</w:t>
            </w:r>
            <w:r>
              <w:rPr>
                <w:rFonts w:ascii="Times New Roman" w:hAnsi="Times New Roman" w:cs="Times New Roman"/>
                <w:spacing w:val="-1"/>
                <w:sz w:val="18"/>
                <w:lang w:eastAsia="zh-CN"/>
              </w:rPr>
              <w:t>',</w:t>
            </w:r>
            <w:r>
              <w:rPr>
                <w:rFonts w:ascii="Times New Roman" w:hAnsi="Times New Roman" w:cs="Times New Roman"/>
                <w:spacing w:val="-2"/>
                <w:sz w:val="18"/>
                <w:lang w:eastAsia="zh-CN"/>
              </w:rPr>
              <w:t>5</w:t>
            </w:r>
            <w:r>
              <w:rPr>
                <w:rFonts w:ascii="Times New Roman" w:hAnsi="Times New Roman" w:cs="Times New Roman"/>
                <w:sz w:val="18"/>
                <w:lang w:eastAsia="zh-CN"/>
              </w:rPr>
              <w:t>,</w:t>
            </w:r>
            <w:r>
              <w:rPr>
                <w:rFonts w:ascii="Times New Roman" w:hAnsi="Times New Roman" w:cs="Times New Roman"/>
                <w:spacing w:val="1"/>
                <w:sz w:val="18"/>
                <w:lang w:eastAsia="zh-CN"/>
              </w:rPr>
              <w:t>5</w:t>
            </w:r>
            <w:r>
              <w:rPr>
                <w:rFonts w:ascii="Times New Roman" w:hAnsi="Times New Roman" w:cs="Times New Roman"/>
                <w:spacing w:val="-1"/>
                <w:sz w:val="18"/>
                <w:lang w:eastAsia="zh-CN"/>
              </w:rPr>
              <w:t>'-</w:t>
            </w:r>
            <w:r>
              <w:rPr>
                <w:rFonts w:ascii="Times New Roman" w:hAnsi="Times New Roman" w:cs="Times New Roman"/>
                <w:spacing w:val="-18"/>
                <w:sz w:val="18"/>
                <w:lang w:eastAsia="zh-CN"/>
              </w:rPr>
              <w:t>七氯联苯</w:t>
            </w:r>
            <w:r>
              <w:rPr>
                <w:rFonts w:ascii="Times New Roman" w:hAnsi="Times New Roman" w:cs="Times New Roman"/>
                <w:spacing w:val="-8"/>
                <w:sz w:val="18"/>
                <w:lang w:eastAsia="zh-CN"/>
              </w:rPr>
              <w:t>（</w:t>
            </w:r>
            <w:r>
              <w:rPr>
                <w:rFonts w:ascii="Times New Roman" w:hAnsi="Times New Roman" w:cs="Times New Roman"/>
                <w:sz w:val="18"/>
                <w:lang w:eastAsia="zh-CN"/>
              </w:rPr>
              <w:t>P</w:t>
            </w:r>
            <w:r>
              <w:rPr>
                <w:rFonts w:ascii="Times New Roman" w:hAnsi="Times New Roman" w:cs="Times New Roman"/>
                <w:spacing w:val="-1"/>
                <w:sz w:val="18"/>
                <w:lang w:eastAsia="zh-CN"/>
              </w:rPr>
              <w:t>CB</w:t>
            </w:r>
            <w:r>
              <w:rPr>
                <w:rFonts w:ascii="Times New Roman" w:hAnsi="Times New Roman" w:cs="Times New Roman"/>
                <w:spacing w:val="1"/>
                <w:sz w:val="18"/>
                <w:lang w:eastAsia="zh-CN"/>
              </w:rPr>
              <w:t>1</w:t>
            </w:r>
            <w:r>
              <w:rPr>
                <w:rFonts w:ascii="Times New Roman" w:hAnsi="Times New Roman" w:cs="Times New Roman"/>
                <w:spacing w:val="-2"/>
                <w:sz w:val="18"/>
                <w:lang w:eastAsia="zh-CN"/>
              </w:rPr>
              <w:t>8</w:t>
            </w:r>
            <w:r>
              <w:rPr>
                <w:rFonts w:ascii="Times New Roman" w:hAnsi="Times New Roman" w:cs="Times New Roman"/>
                <w:spacing w:val="1"/>
                <w:sz w:val="18"/>
                <w:lang w:eastAsia="zh-CN"/>
              </w:rPr>
              <w:t>9</w:t>
            </w:r>
            <w:r>
              <w:rPr>
                <w:rFonts w:ascii="Times New Roman" w:hAnsi="Times New Roman" w:cs="Times New Roman"/>
                <w:spacing w:val="-80"/>
                <w:sz w:val="18"/>
                <w:lang w:eastAsia="zh-CN"/>
              </w:rPr>
              <w:t>）、</w:t>
            </w:r>
            <w:r>
              <w:rPr>
                <w:rFonts w:ascii="Times New Roman" w:hAnsi="Times New Roman" w:cs="Times New Roman"/>
                <w:spacing w:val="1"/>
                <w:sz w:val="18"/>
                <w:lang w:eastAsia="zh-CN"/>
              </w:rPr>
              <w:t>2</w:t>
            </w:r>
            <w:r>
              <w:rPr>
                <w:rFonts w:ascii="Times New Roman" w:hAnsi="Times New Roman" w:cs="Times New Roman"/>
                <w:sz w:val="18"/>
                <w:lang w:eastAsia="zh-CN"/>
              </w:rPr>
              <w:t>,</w:t>
            </w:r>
            <w:r>
              <w:rPr>
                <w:rFonts w:ascii="Times New Roman" w:hAnsi="Times New Roman" w:cs="Times New Roman"/>
                <w:spacing w:val="-2"/>
                <w:sz w:val="18"/>
                <w:lang w:eastAsia="zh-CN"/>
              </w:rPr>
              <w:t>3'</w:t>
            </w:r>
            <w:r>
              <w:rPr>
                <w:rFonts w:ascii="Times New Roman" w:hAnsi="Times New Roman" w:cs="Times New Roman"/>
                <w:sz w:val="18"/>
                <w:lang w:eastAsia="zh-CN"/>
              </w:rPr>
              <w:t>,</w:t>
            </w:r>
            <w:r>
              <w:rPr>
                <w:rFonts w:ascii="Times New Roman" w:hAnsi="Times New Roman" w:cs="Times New Roman"/>
                <w:spacing w:val="1"/>
                <w:sz w:val="18"/>
                <w:lang w:eastAsia="zh-CN"/>
              </w:rPr>
              <w:t>4</w:t>
            </w:r>
            <w:r>
              <w:rPr>
                <w:rFonts w:ascii="Times New Roman" w:hAnsi="Times New Roman" w:cs="Times New Roman"/>
                <w:sz w:val="18"/>
                <w:lang w:eastAsia="zh-CN"/>
              </w:rPr>
              <w:t>,</w:t>
            </w:r>
            <w:r>
              <w:rPr>
                <w:rFonts w:ascii="Times New Roman" w:hAnsi="Times New Roman" w:cs="Times New Roman"/>
                <w:spacing w:val="-2"/>
                <w:sz w:val="18"/>
                <w:lang w:eastAsia="zh-CN"/>
              </w:rPr>
              <w:t>4'</w:t>
            </w:r>
            <w:r>
              <w:rPr>
                <w:rFonts w:ascii="Times New Roman" w:hAnsi="Times New Roman" w:cs="Times New Roman"/>
                <w:sz w:val="18"/>
                <w:lang w:eastAsia="zh-CN"/>
              </w:rPr>
              <w:t>,</w:t>
            </w:r>
            <w:r>
              <w:rPr>
                <w:rFonts w:ascii="Times New Roman" w:hAnsi="Times New Roman" w:cs="Times New Roman"/>
                <w:spacing w:val="1"/>
                <w:sz w:val="18"/>
                <w:lang w:eastAsia="zh-CN"/>
              </w:rPr>
              <w:t>5</w:t>
            </w:r>
            <w:r>
              <w:rPr>
                <w:rFonts w:ascii="Times New Roman" w:hAnsi="Times New Roman" w:cs="Times New Roman"/>
                <w:sz w:val="18"/>
                <w:lang w:eastAsia="zh-CN"/>
              </w:rPr>
              <w:t>,</w:t>
            </w:r>
            <w:r>
              <w:rPr>
                <w:rFonts w:ascii="Times New Roman" w:hAnsi="Times New Roman" w:cs="Times New Roman"/>
                <w:spacing w:val="-2"/>
                <w:sz w:val="18"/>
                <w:lang w:eastAsia="zh-CN"/>
              </w:rPr>
              <w:t>5'</w:t>
            </w:r>
            <w:r>
              <w:rPr>
                <w:rFonts w:ascii="Times New Roman" w:hAnsi="Times New Roman" w:cs="Times New Roman"/>
                <w:spacing w:val="2"/>
                <w:sz w:val="18"/>
                <w:lang w:eastAsia="zh-CN"/>
              </w:rPr>
              <w:t>-</w:t>
            </w:r>
            <w:r>
              <w:rPr>
                <w:rFonts w:ascii="Times New Roman" w:hAnsi="Times New Roman" w:cs="Times New Roman"/>
                <w:spacing w:val="-18"/>
                <w:sz w:val="18"/>
                <w:lang w:eastAsia="zh-CN"/>
              </w:rPr>
              <w:t>六氯联苯</w:t>
            </w:r>
            <w:r>
              <w:rPr>
                <w:rFonts w:ascii="Times New Roman" w:hAnsi="Times New Roman" w:cs="Times New Roman"/>
                <w:spacing w:val="-5"/>
                <w:sz w:val="18"/>
                <w:lang w:eastAsia="zh-CN"/>
              </w:rPr>
              <w:t>（</w:t>
            </w:r>
            <w:r>
              <w:rPr>
                <w:rFonts w:ascii="Times New Roman" w:hAnsi="Times New Roman" w:cs="Times New Roman"/>
                <w:sz w:val="18"/>
                <w:lang w:eastAsia="zh-CN"/>
              </w:rPr>
              <w:t>P</w:t>
            </w:r>
            <w:r>
              <w:rPr>
                <w:rFonts w:ascii="Times New Roman" w:hAnsi="Times New Roman" w:cs="Times New Roman"/>
                <w:spacing w:val="-1"/>
                <w:sz w:val="18"/>
                <w:lang w:eastAsia="zh-CN"/>
              </w:rPr>
              <w:t>CB</w:t>
            </w:r>
            <w:r>
              <w:rPr>
                <w:rFonts w:ascii="Times New Roman" w:hAnsi="Times New Roman" w:cs="Times New Roman"/>
                <w:spacing w:val="1"/>
                <w:sz w:val="18"/>
                <w:lang w:eastAsia="zh-CN"/>
              </w:rPr>
              <w:t>1</w:t>
            </w:r>
            <w:r>
              <w:rPr>
                <w:rFonts w:ascii="Times New Roman" w:hAnsi="Times New Roman" w:cs="Times New Roman"/>
                <w:spacing w:val="-2"/>
                <w:sz w:val="18"/>
                <w:lang w:eastAsia="zh-CN"/>
              </w:rPr>
              <w:t>67</w:t>
            </w:r>
            <w:r>
              <w:rPr>
                <w:rFonts w:ascii="Times New Roman" w:hAnsi="Times New Roman" w:cs="Times New Roman"/>
                <w:spacing w:val="-80"/>
                <w:sz w:val="18"/>
                <w:lang w:eastAsia="zh-CN"/>
              </w:rPr>
              <w:t>）、</w:t>
            </w:r>
            <w:r>
              <w:rPr>
                <w:rFonts w:ascii="Times New Roman" w:hAnsi="Times New Roman" w:cs="Times New Roman"/>
                <w:spacing w:val="1"/>
                <w:sz w:val="18"/>
                <w:lang w:eastAsia="zh-CN"/>
              </w:rPr>
              <w:t>2</w:t>
            </w:r>
            <w:r>
              <w:rPr>
                <w:rFonts w:ascii="Times New Roman" w:hAnsi="Times New Roman" w:cs="Times New Roman"/>
                <w:sz w:val="18"/>
                <w:lang w:eastAsia="zh-CN"/>
              </w:rPr>
              <w:t>,</w:t>
            </w:r>
            <w:r>
              <w:rPr>
                <w:rFonts w:ascii="Times New Roman" w:hAnsi="Times New Roman" w:cs="Times New Roman"/>
                <w:spacing w:val="-2"/>
                <w:sz w:val="18"/>
                <w:lang w:eastAsia="zh-CN"/>
              </w:rPr>
              <w:t>3</w:t>
            </w:r>
            <w:r>
              <w:rPr>
                <w:rFonts w:ascii="Times New Roman" w:hAnsi="Times New Roman" w:cs="Times New Roman"/>
                <w:sz w:val="18"/>
                <w:lang w:eastAsia="zh-CN"/>
              </w:rPr>
              <w:t>,</w:t>
            </w:r>
            <w:r>
              <w:rPr>
                <w:rFonts w:ascii="Times New Roman" w:hAnsi="Times New Roman" w:cs="Times New Roman"/>
                <w:spacing w:val="-2"/>
                <w:sz w:val="18"/>
                <w:lang w:eastAsia="zh-CN"/>
              </w:rPr>
              <w:t>3'</w:t>
            </w:r>
            <w:r>
              <w:rPr>
                <w:rFonts w:ascii="Times New Roman" w:hAnsi="Times New Roman" w:cs="Times New Roman"/>
                <w:sz w:val="18"/>
                <w:lang w:eastAsia="zh-CN"/>
              </w:rPr>
              <w:t>,</w:t>
            </w:r>
            <w:r>
              <w:rPr>
                <w:rFonts w:ascii="Times New Roman" w:hAnsi="Times New Roman" w:cs="Times New Roman"/>
                <w:spacing w:val="1"/>
                <w:sz w:val="18"/>
                <w:lang w:eastAsia="zh-CN"/>
              </w:rPr>
              <w:t>4</w:t>
            </w:r>
            <w:r>
              <w:rPr>
                <w:rFonts w:ascii="Times New Roman" w:hAnsi="Times New Roman" w:cs="Times New Roman"/>
                <w:sz w:val="18"/>
                <w:lang w:eastAsia="zh-CN"/>
              </w:rPr>
              <w:t>,</w:t>
            </w:r>
            <w:r>
              <w:rPr>
                <w:rFonts w:ascii="Times New Roman" w:hAnsi="Times New Roman" w:cs="Times New Roman"/>
                <w:spacing w:val="1"/>
                <w:sz w:val="18"/>
                <w:lang w:eastAsia="zh-CN"/>
              </w:rPr>
              <w:t>4</w:t>
            </w:r>
            <w:r>
              <w:rPr>
                <w:rFonts w:ascii="Times New Roman" w:hAnsi="Times New Roman" w:cs="Times New Roman"/>
                <w:spacing w:val="-1"/>
                <w:sz w:val="18"/>
                <w:lang w:eastAsia="zh-CN"/>
              </w:rPr>
              <w:t>',</w:t>
            </w:r>
            <w:r>
              <w:rPr>
                <w:rFonts w:ascii="Times New Roman" w:hAnsi="Times New Roman" w:cs="Times New Roman"/>
                <w:spacing w:val="-2"/>
                <w:sz w:val="18"/>
                <w:lang w:eastAsia="zh-CN"/>
              </w:rPr>
              <w:t>5'</w:t>
            </w:r>
            <w:r>
              <w:rPr>
                <w:rFonts w:ascii="Times New Roman" w:hAnsi="Times New Roman" w:cs="Times New Roman"/>
                <w:spacing w:val="2"/>
                <w:sz w:val="18"/>
                <w:lang w:eastAsia="zh-CN"/>
              </w:rPr>
              <w:t>-</w:t>
            </w:r>
            <w:r>
              <w:rPr>
                <w:rFonts w:ascii="Times New Roman" w:hAnsi="Times New Roman" w:cs="Times New Roman"/>
                <w:spacing w:val="-18"/>
                <w:sz w:val="18"/>
                <w:lang w:eastAsia="zh-CN"/>
              </w:rPr>
              <w:t>六氯联苯</w:t>
            </w:r>
            <w:r>
              <w:rPr>
                <w:rFonts w:ascii="Times New Roman" w:hAnsi="Times New Roman" w:cs="Times New Roman"/>
                <w:spacing w:val="-5"/>
                <w:sz w:val="18"/>
                <w:lang w:eastAsia="zh-CN"/>
              </w:rPr>
              <w:t>（</w:t>
            </w:r>
            <w:r>
              <w:rPr>
                <w:rFonts w:ascii="Times New Roman" w:hAnsi="Times New Roman" w:cs="Times New Roman"/>
                <w:sz w:val="18"/>
                <w:lang w:eastAsia="zh-CN"/>
              </w:rPr>
              <w:t>P</w:t>
            </w:r>
            <w:r>
              <w:rPr>
                <w:rFonts w:ascii="Times New Roman" w:hAnsi="Times New Roman" w:cs="Times New Roman"/>
                <w:spacing w:val="-1"/>
                <w:sz w:val="18"/>
                <w:lang w:eastAsia="zh-CN"/>
              </w:rPr>
              <w:t>CB</w:t>
            </w:r>
            <w:r>
              <w:rPr>
                <w:rFonts w:ascii="Times New Roman" w:hAnsi="Times New Roman" w:cs="Times New Roman"/>
                <w:spacing w:val="-2"/>
                <w:sz w:val="18"/>
                <w:lang w:eastAsia="zh-CN"/>
              </w:rPr>
              <w:t>1</w:t>
            </w:r>
            <w:r>
              <w:rPr>
                <w:rFonts w:ascii="Times New Roman" w:hAnsi="Times New Roman" w:cs="Times New Roman"/>
                <w:spacing w:val="1"/>
                <w:sz w:val="18"/>
                <w:lang w:eastAsia="zh-CN"/>
              </w:rPr>
              <w:t>5</w:t>
            </w:r>
            <w:r>
              <w:rPr>
                <w:rFonts w:ascii="Times New Roman" w:hAnsi="Times New Roman" w:cs="Times New Roman"/>
                <w:spacing w:val="-2"/>
                <w:sz w:val="18"/>
                <w:lang w:eastAsia="zh-CN"/>
              </w:rPr>
              <w:t>7</w:t>
            </w:r>
            <w:r>
              <w:rPr>
                <w:rFonts w:ascii="Times New Roman" w:hAnsi="Times New Roman" w:cs="Times New Roman"/>
                <w:spacing w:val="-80"/>
                <w:sz w:val="18"/>
                <w:lang w:eastAsia="zh-CN"/>
              </w:rPr>
              <w:t>）</w:t>
            </w:r>
            <w:r>
              <w:rPr>
                <w:rFonts w:ascii="Times New Roman" w:hAnsi="Times New Roman" w:cs="Times New Roman"/>
                <w:spacing w:val="-77"/>
                <w:sz w:val="18"/>
                <w:lang w:eastAsia="zh-CN"/>
              </w:rPr>
              <w:t>、</w:t>
            </w:r>
            <w:r>
              <w:rPr>
                <w:rFonts w:ascii="Times New Roman" w:hAnsi="Times New Roman" w:cs="Times New Roman"/>
                <w:spacing w:val="1"/>
                <w:sz w:val="18"/>
                <w:lang w:eastAsia="zh-CN"/>
              </w:rPr>
              <w:t>2</w:t>
            </w:r>
            <w:r>
              <w:rPr>
                <w:rFonts w:ascii="Times New Roman" w:hAnsi="Times New Roman" w:cs="Times New Roman"/>
                <w:spacing w:val="-2"/>
                <w:sz w:val="18"/>
                <w:lang w:eastAsia="zh-CN"/>
              </w:rPr>
              <w:t>,</w:t>
            </w:r>
            <w:r>
              <w:rPr>
                <w:rFonts w:ascii="Times New Roman" w:hAnsi="Times New Roman" w:cs="Times New Roman"/>
                <w:spacing w:val="1"/>
                <w:sz w:val="18"/>
                <w:lang w:eastAsia="zh-CN"/>
              </w:rPr>
              <w:t>3</w:t>
            </w:r>
            <w:r>
              <w:rPr>
                <w:rFonts w:ascii="Times New Roman" w:hAnsi="Times New Roman" w:cs="Times New Roman"/>
                <w:sz w:val="18"/>
                <w:lang w:eastAsia="zh-CN"/>
              </w:rPr>
              <w:t>,</w:t>
            </w:r>
            <w:r>
              <w:rPr>
                <w:rFonts w:ascii="Times New Roman" w:hAnsi="Times New Roman" w:cs="Times New Roman"/>
                <w:spacing w:val="-2"/>
                <w:sz w:val="18"/>
                <w:lang w:eastAsia="zh-CN"/>
              </w:rPr>
              <w:t>3'</w:t>
            </w:r>
            <w:r>
              <w:rPr>
                <w:rFonts w:ascii="Times New Roman" w:hAnsi="Times New Roman" w:cs="Times New Roman"/>
                <w:sz w:val="18"/>
                <w:lang w:eastAsia="zh-CN"/>
              </w:rPr>
              <w:t>,</w:t>
            </w:r>
            <w:r>
              <w:rPr>
                <w:rFonts w:ascii="Times New Roman" w:hAnsi="Times New Roman" w:cs="Times New Roman"/>
                <w:spacing w:val="1"/>
                <w:sz w:val="18"/>
                <w:lang w:eastAsia="zh-CN"/>
              </w:rPr>
              <w:t>4</w:t>
            </w:r>
            <w:r>
              <w:rPr>
                <w:rFonts w:ascii="Times New Roman" w:hAnsi="Times New Roman" w:cs="Times New Roman"/>
                <w:sz w:val="18"/>
                <w:lang w:eastAsia="zh-CN"/>
              </w:rPr>
              <w:t>,</w:t>
            </w:r>
            <w:r>
              <w:rPr>
                <w:rFonts w:ascii="Times New Roman" w:hAnsi="Times New Roman" w:cs="Times New Roman"/>
                <w:spacing w:val="-2"/>
                <w:sz w:val="18"/>
                <w:lang w:eastAsia="zh-CN"/>
              </w:rPr>
              <w:t>4'</w:t>
            </w:r>
            <w:r>
              <w:rPr>
                <w:rFonts w:ascii="Times New Roman" w:hAnsi="Times New Roman" w:cs="Times New Roman"/>
                <w:sz w:val="18"/>
                <w:lang w:eastAsia="zh-CN"/>
              </w:rPr>
              <w:t>,</w:t>
            </w:r>
            <w:r>
              <w:rPr>
                <w:rFonts w:ascii="Times New Roman" w:hAnsi="Times New Roman" w:cs="Times New Roman"/>
                <w:spacing w:val="1"/>
                <w:sz w:val="18"/>
                <w:lang w:eastAsia="zh-CN"/>
              </w:rPr>
              <w:t>5</w:t>
            </w:r>
            <w:r>
              <w:rPr>
                <w:rFonts w:ascii="Times New Roman" w:hAnsi="Times New Roman" w:cs="Times New Roman"/>
                <w:sz w:val="18"/>
                <w:lang w:eastAsia="zh-CN"/>
              </w:rPr>
              <w:t>-</w:t>
            </w:r>
            <w:r>
              <w:rPr>
                <w:rFonts w:ascii="Times New Roman" w:hAnsi="Times New Roman" w:cs="Times New Roman"/>
                <w:spacing w:val="-18"/>
                <w:sz w:val="18"/>
                <w:lang w:eastAsia="zh-CN"/>
              </w:rPr>
              <w:t>六氯联苯</w:t>
            </w:r>
            <w:r>
              <w:rPr>
                <w:rFonts w:ascii="Times New Roman" w:hAnsi="Times New Roman" w:cs="Times New Roman"/>
                <w:spacing w:val="-8"/>
                <w:sz w:val="18"/>
                <w:lang w:eastAsia="zh-CN"/>
              </w:rPr>
              <w:t>（</w:t>
            </w:r>
            <w:r>
              <w:rPr>
                <w:rFonts w:ascii="Times New Roman" w:hAnsi="Times New Roman" w:cs="Times New Roman"/>
                <w:sz w:val="18"/>
                <w:lang w:eastAsia="zh-CN"/>
              </w:rPr>
              <w:t>P</w:t>
            </w:r>
            <w:r>
              <w:rPr>
                <w:rFonts w:ascii="Times New Roman" w:hAnsi="Times New Roman" w:cs="Times New Roman"/>
                <w:spacing w:val="-1"/>
                <w:sz w:val="18"/>
                <w:lang w:eastAsia="zh-CN"/>
              </w:rPr>
              <w:t>CB</w:t>
            </w:r>
            <w:r>
              <w:rPr>
                <w:rFonts w:ascii="Times New Roman" w:hAnsi="Times New Roman" w:cs="Times New Roman"/>
                <w:spacing w:val="1"/>
                <w:sz w:val="18"/>
                <w:lang w:eastAsia="zh-CN"/>
              </w:rPr>
              <w:t>1</w:t>
            </w:r>
            <w:r>
              <w:rPr>
                <w:rFonts w:ascii="Times New Roman" w:hAnsi="Times New Roman" w:cs="Times New Roman"/>
                <w:spacing w:val="-2"/>
                <w:sz w:val="18"/>
                <w:lang w:eastAsia="zh-CN"/>
              </w:rPr>
              <w:t>5</w:t>
            </w:r>
            <w:r>
              <w:rPr>
                <w:rFonts w:ascii="Times New Roman" w:hAnsi="Times New Roman" w:cs="Times New Roman"/>
                <w:spacing w:val="1"/>
                <w:sz w:val="18"/>
                <w:lang w:eastAsia="zh-CN"/>
              </w:rPr>
              <w:t>6</w:t>
            </w:r>
            <w:r>
              <w:rPr>
                <w:rFonts w:ascii="Times New Roman" w:hAnsi="Times New Roman" w:cs="Times New Roman"/>
                <w:spacing w:val="-89"/>
                <w:sz w:val="18"/>
                <w:lang w:eastAsia="zh-CN"/>
              </w:rPr>
              <w:t>）</w:t>
            </w:r>
            <w:r>
              <w:rPr>
                <w:rFonts w:ascii="Times New Roman" w:hAnsi="Times New Roman" w:cs="Times New Roman"/>
                <w:sz w:val="18"/>
                <w:lang w:eastAsia="zh-CN"/>
              </w:rPr>
              <w:t>、</w:t>
            </w:r>
          </w:p>
          <w:p>
            <w:pPr>
              <w:pStyle w:val="38"/>
              <w:spacing w:before="120"/>
              <w:ind w:right="-15"/>
              <w:rPr>
                <w:rFonts w:ascii="Times New Roman" w:hAnsi="Times New Roman" w:cs="Times New Roman"/>
                <w:sz w:val="18"/>
                <w:lang w:eastAsia="zh-CN"/>
              </w:rPr>
            </w:pPr>
            <w:r>
              <w:rPr>
                <w:rFonts w:ascii="Times New Roman" w:hAnsi="Times New Roman" w:cs="Times New Roman"/>
                <w:spacing w:val="1"/>
                <w:sz w:val="18"/>
                <w:lang w:eastAsia="zh-CN"/>
              </w:rPr>
              <w:t>3</w:t>
            </w:r>
            <w:r>
              <w:rPr>
                <w:rFonts w:ascii="Times New Roman" w:hAnsi="Times New Roman" w:cs="Times New Roman"/>
                <w:sz w:val="18"/>
                <w:lang w:eastAsia="zh-CN"/>
              </w:rPr>
              <w:t>,</w:t>
            </w:r>
            <w:r>
              <w:rPr>
                <w:rFonts w:ascii="Times New Roman" w:hAnsi="Times New Roman" w:cs="Times New Roman"/>
                <w:spacing w:val="-2"/>
                <w:sz w:val="18"/>
                <w:lang w:eastAsia="zh-CN"/>
              </w:rPr>
              <w:t>3'</w:t>
            </w:r>
            <w:r>
              <w:rPr>
                <w:rFonts w:ascii="Times New Roman" w:hAnsi="Times New Roman" w:cs="Times New Roman"/>
                <w:sz w:val="18"/>
                <w:lang w:eastAsia="zh-CN"/>
              </w:rPr>
              <w:t>,</w:t>
            </w:r>
            <w:r>
              <w:rPr>
                <w:rFonts w:ascii="Times New Roman" w:hAnsi="Times New Roman" w:cs="Times New Roman"/>
                <w:spacing w:val="1"/>
                <w:sz w:val="18"/>
                <w:lang w:eastAsia="zh-CN"/>
              </w:rPr>
              <w:t>4</w:t>
            </w:r>
            <w:r>
              <w:rPr>
                <w:rFonts w:ascii="Times New Roman" w:hAnsi="Times New Roman" w:cs="Times New Roman"/>
                <w:sz w:val="18"/>
                <w:lang w:eastAsia="zh-CN"/>
              </w:rPr>
              <w:t>,</w:t>
            </w:r>
            <w:r>
              <w:rPr>
                <w:rFonts w:ascii="Times New Roman" w:hAnsi="Times New Roman" w:cs="Times New Roman"/>
                <w:spacing w:val="-2"/>
                <w:sz w:val="18"/>
                <w:lang w:eastAsia="zh-CN"/>
              </w:rPr>
              <w:t>4'</w:t>
            </w:r>
            <w:r>
              <w:rPr>
                <w:rFonts w:ascii="Times New Roman" w:hAnsi="Times New Roman" w:cs="Times New Roman"/>
                <w:sz w:val="18"/>
                <w:lang w:eastAsia="zh-CN"/>
              </w:rPr>
              <w:t>,</w:t>
            </w:r>
            <w:r>
              <w:rPr>
                <w:rFonts w:ascii="Times New Roman" w:hAnsi="Times New Roman" w:cs="Times New Roman"/>
                <w:spacing w:val="1"/>
                <w:sz w:val="18"/>
                <w:lang w:eastAsia="zh-CN"/>
              </w:rPr>
              <w:t>5</w:t>
            </w:r>
            <w:r>
              <w:rPr>
                <w:rFonts w:ascii="Times New Roman" w:hAnsi="Times New Roman" w:cs="Times New Roman"/>
                <w:sz w:val="18"/>
                <w:lang w:eastAsia="zh-CN"/>
              </w:rPr>
              <w:t>,</w:t>
            </w:r>
            <w:r>
              <w:rPr>
                <w:rFonts w:ascii="Times New Roman" w:hAnsi="Times New Roman" w:cs="Times New Roman"/>
                <w:spacing w:val="-2"/>
                <w:sz w:val="18"/>
                <w:lang w:eastAsia="zh-CN"/>
              </w:rPr>
              <w:t>5'</w:t>
            </w:r>
            <w:r>
              <w:rPr>
                <w:rFonts w:ascii="Times New Roman" w:hAnsi="Times New Roman" w:cs="Times New Roman"/>
                <w:sz w:val="18"/>
                <w:lang w:eastAsia="zh-CN"/>
              </w:rPr>
              <w:t>-</w:t>
            </w:r>
            <w:r>
              <w:rPr>
                <w:rFonts w:ascii="Times New Roman" w:hAnsi="Times New Roman" w:cs="Times New Roman"/>
                <w:spacing w:val="-4"/>
                <w:sz w:val="18"/>
                <w:lang w:eastAsia="zh-CN"/>
              </w:rPr>
              <w:t>六氯联苯</w:t>
            </w:r>
            <w:r>
              <w:rPr>
                <w:rFonts w:ascii="Times New Roman" w:hAnsi="Times New Roman" w:cs="Times New Roman"/>
                <w:sz w:val="18"/>
                <w:lang w:eastAsia="zh-CN"/>
              </w:rPr>
              <w:t>（P</w:t>
            </w:r>
            <w:r>
              <w:rPr>
                <w:rFonts w:ascii="Times New Roman" w:hAnsi="Times New Roman" w:cs="Times New Roman"/>
                <w:spacing w:val="-1"/>
                <w:sz w:val="18"/>
                <w:lang w:eastAsia="zh-CN"/>
              </w:rPr>
              <w:t>CB</w:t>
            </w:r>
            <w:r>
              <w:rPr>
                <w:rFonts w:ascii="Times New Roman" w:hAnsi="Times New Roman" w:cs="Times New Roman"/>
                <w:spacing w:val="-2"/>
                <w:sz w:val="18"/>
                <w:lang w:eastAsia="zh-CN"/>
              </w:rPr>
              <w:t>1</w:t>
            </w:r>
            <w:r>
              <w:rPr>
                <w:rFonts w:ascii="Times New Roman" w:hAnsi="Times New Roman" w:cs="Times New Roman"/>
                <w:spacing w:val="1"/>
                <w:sz w:val="18"/>
                <w:lang w:eastAsia="zh-CN"/>
              </w:rPr>
              <w:t>6</w:t>
            </w:r>
            <w:r>
              <w:rPr>
                <w:rFonts w:ascii="Times New Roman" w:hAnsi="Times New Roman" w:cs="Times New Roman"/>
                <w:spacing w:val="-2"/>
                <w:sz w:val="18"/>
                <w:lang w:eastAsia="zh-CN"/>
              </w:rPr>
              <w:t>9</w:t>
            </w:r>
            <w:r>
              <w:rPr>
                <w:rFonts w:ascii="Times New Roman" w:hAnsi="Times New Roman" w:cs="Times New Roman"/>
                <w:spacing w:val="-17"/>
                <w:sz w:val="18"/>
                <w:lang w:eastAsia="zh-CN"/>
              </w:rPr>
              <w:t>）、</w:t>
            </w:r>
            <w:r>
              <w:rPr>
                <w:rFonts w:ascii="Times New Roman" w:hAnsi="Times New Roman" w:cs="Times New Roman"/>
                <w:spacing w:val="1"/>
                <w:sz w:val="18"/>
                <w:lang w:eastAsia="zh-CN"/>
              </w:rPr>
              <w:t>2</w:t>
            </w:r>
            <w:r>
              <w:rPr>
                <w:rFonts w:ascii="Times New Roman" w:hAnsi="Times New Roman" w:cs="Times New Roman"/>
                <w:spacing w:val="-1"/>
                <w:sz w:val="18"/>
                <w:lang w:eastAsia="zh-CN"/>
              </w:rPr>
              <w:t>',</w:t>
            </w:r>
            <w:r>
              <w:rPr>
                <w:rFonts w:ascii="Times New Roman" w:hAnsi="Times New Roman" w:cs="Times New Roman"/>
                <w:spacing w:val="-2"/>
                <w:sz w:val="18"/>
                <w:lang w:eastAsia="zh-CN"/>
              </w:rPr>
              <w:t>3</w:t>
            </w:r>
            <w:r>
              <w:rPr>
                <w:rFonts w:ascii="Times New Roman" w:hAnsi="Times New Roman" w:cs="Times New Roman"/>
                <w:sz w:val="18"/>
                <w:lang w:eastAsia="zh-CN"/>
              </w:rPr>
              <w:t>,</w:t>
            </w:r>
            <w:r>
              <w:rPr>
                <w:rFonts w:ascii="Times New Roman" w:hAnsi="Times New Roman" w:cs="Times New Roman"/>
                <w:spacing w:val="1"/>
                <w:sz w:val="18"/>
                <w:lang w:eastAsia="zh-CN"/>
              </w:rPr>
              <w:t>4</w:t>
            </w:r>
            <w:r>
              <w:rPr>
                <w:rFonts w:ascii="Times New Roman" w:hAnsi="Times New Roman" w:cs="Times New Roman"/>
                <w:spacing w:val="-2"/>
                <w:sz w:val="18"/>
                <w:lang w:eastAsia="zh-CN"/>
              </w:rPr>
              <w:t>,</w:t>
            </w:r>
            <w:r>
              <w:rPr>
                <w:rFonts w:ascii="Times New Roman" w:hAnsi="Times New Roman" w:cs="Times New Roman"/>
                <w:spacing w:val="1"/>
                <w:sz w:val="18"/>
                <w:lang w:eastAsia="zh-CN"/>
              </w:rPr>
              <w:t>4</w:t>
            </w:r>
            <w:r>
              <w:rPr>
                <w:rFonts w:ascii="Times New Roman" w:hAnsi="Times New Roman" w:cs="Times New Roman"/>
                <w:spacing w:val="-1"/>
                <w:sz w:val="18"/>
                <w:lang w:eastAsia="zh-CN"/>
              </w:rPr>
              <w:t>',</w:t>
            </w:r>
            <w:r>
              <w:rPr>
                <w:rFonts w:ascii="Times New Roman" w:hAnsi="Times New Roman" w:cs="Times New Roman"/>
                <w:spacing w:val="1"/>
                <w:sz w:val="18"/>
                <w:lang w:eastAsia="zh-CN"/>
              </w:rPr>
              <w:t>5</w:t>
            </w:r>
            <w:r>
              <w:rPr>
                <w:rFonts w:ascii="Times New Roman" w:hAnsi="Times New Roman" w:cs="Times New Roman"/>
                <w:spacing w:val="-3"/>
                <w:sz w:val="18"/>
                <w:lang w:eastAsia="zh-CN"/>
              </w:rPr>
              <w:t>-</w:t>
            </w:r>
            <w:r>
              <w:rPr>
                <w:rFonts w:ascii="Times New Roman" w:hAnsi="Times New Roman" w:cs="Times New Roman"/>
                <w:spacing w:val="-4"/>
                <w:sz w:val="18"/>
                <w:lang w:eastAsia="zh-CN"/>
              </w:rPr>
              <w:t>五氯联苯</w:t>
            </w:r>
            <w:r>
              <w:rPr>
                <w:rFonts w:ascii="Times New Roman" w:hAnsi="Times New Roman" w:cs="Times New Roman"/>
                <w:sz w:val="18"/>
                <w:lang w:eastAsia="zh-CN"/>
              </w:rPr>
              <w:t>（P</w:t>
            </w:r>
            <w:r>
              <w:rPr>
                <w:rFonts w:ascii="Times New Roman" w:hAnsi="Times New Roman" w:cs="Times New Roman"/>
                <w:spacing w:val="-1"/>
                <w:sz w:val="18"/>
                <w:lang w:eastAsia="zh-CN"/>
              </w:rPr>
              <w:t>CB</w:t>
            </w:r>
            <w:r>
              <w:rPr>
                <w:rFonts w:ascii="Times New Roman" w:hAnsi="Times New Roman" w:cs="Times New Roman"/>
                <w:spacing w:val="-2"/>
                <w:sz w:val="18"/>
                <w:lang w:eastAsia="zh-CN"/>
              </w:rPr>
              <w:t>1</w:t>
            </w:r>
            <w:r>
              <w:rPr>
                <w:rFonts w:ascii="Times New Roman" w:hAnsi="Times New Roman" w:cs="Times New Roman"/>
                <w:spacing w:val="1"/>
                <w:sz w:val="18"/>
                <w:lang w:eastAsia="zh-CN"/>
              </w:rPr>
              <w:t>2</w:t>
            </w:r>
            <w:r>
              <w:rPr>
                <w:rFonts w:ascii="Times New Roman" w:hAnsi="Times New Roman" w:cs="Times New Roman"/>
                <w:spacing w:val="-2"/>
                <w:sz w:val="18"/>
                <w:lang w:eastAsia="zh-CN"/>
              </w:rPr>
              <w:t>3</w:t>
            </w:r>
            <w:r>
              <w:rPr>
                <w:rFonts w:ascii="Times New Roman" w:hAnsi="Times New Roman" w:cs="Times New Roman"/>
                <w:spacing w:val="-17"/>
                <w:sz w:val="18"/>
                <w:lang w:eastAsia="zh-CN"/>
              </w:rPr>
              <w:t>）、</w:t>
            </w:r>
            <w:r>
              <w:rPr>
                <w:rFonts w:ascii="Times New Roman" w:hAnsi="Times New Roman" w:cs="Times New Roman"/>
                <w:spacing w:val="1"/>
                <w:sz w:val="18"/>
                <w:lang w:eastAsia="zh-CN"/>
              </w:rPr>
              <w:t>2</w:t>
            </w:r>
            <w:r>
              <w:rPr>
                <w:rFonts w:ascii="Times New Roman" w:hAnsi="Times New Roman" w:cs="Times New Roman"/>
                <w:spacing w:val="-2"/>
                <w:sz w:val="18"/>
                <w:lang w:eastAsia="zh-CN"/>
              </w:rPr>
              <w:t>,</w:t>
            </w:r>
            <w:r>
              <w:rPr>
                <w:rFonts w:ascii="Times New Roman" w:hAnsi="Times New Roman" w:cs="Times New Roman"/>
                <w:spacing w:val="1"/>
                <w:sz w:val="18"/>
                <w:lang w:eastAsia="zh-CN"/>
              </w:rPr>
              <w:t>3</w:t>
            </w:r>
            <w:r>
              <w:rPr>
                <w:rFonts w:ascii="Times New Roman" w:hAnsi="Times New Roman" w:cs="Times New Roman"/>
                <w:spacing w:val="-1"/>
                <w:sz w:val="18"/>
                <w:lang w:eastAsia="zh-CN"/>
              </w:rPr>
              <w:t>',</w:t>
            </w:r>
            <w:r>
              <w:rPr>
                <w:rFonts w:ascii="Times New Roman" w:hAnsi="Times New Roman" w:cs="Times New Roman"/>
                <w:spacing w:val="1"/>
                <w:sz w:val="18"/>
                <w:lang w:eastAsia="zh-CN"/>
              </w:rPr>
              <w:t>4</w:t>
            </w:r>
            <w:r>
              <w:rPr>
                <w:rFonts w:ascii="Times New Roman" w:hAnsi="Times New Roman" w:cs="Times New Roman"/>
                <w:spacing w:val="-2"/>
                <w:sz w:val="18"/>
                <w:lang w:eastAsia="zh-CN"/>
              </w:rPr>
              <w:t>,</w:t>
            </w:r>
            <w:r>
              <w:rPr>
                <w:rFonts w:ascii="Times New Roman" w:hAnsi="Times New Roman" w:cs="Times New Roman"/>
                <w:spacing w:val="1"/>
                <w:sz w:val="18"/>
                <w:lang w:eastAsia="zh-CN"/>
              </w:rPr>
              <w:t>4</w:t>
            </w:r>
            <w:r>
              <w:rPr>
                <w:rFonts w:ascii="Times New Roman" w:hAnsi="Times New Roman" w:cs="Times New Roman"/>
                <w:spacing w:val="-1"/>
                <w:sz w:val="18"/>
                <w:lang w:eastAsia="zh-CN"/>
              </w:rPr>
              <w:t>',</w:t>
            </w:r>
            <w:r>
              <w:rPr>
                <w:rFonts w:ascii="Times New Roman" w:hAnsi="Times New Roman" w:cs="Times New Roman"/>
                <w:spacing w:val="1"/>
                <w:sz w:val="18"/>
                <w:lang w:eastAsia="zh-CN"/>
              </w:rPr>
              <w:t>5</w:t>
            </w:r>
            <w:r>
              <w:rPr>
                <w:rFonts w:ascii="Times New Roman" w:hAnsi="Times New Roman" w:cs="Times New Roman"/>
                <w:spacing w:val="-3"/>
                <w:sz w:val="18"/>
                <w:lang w:eastAsia="zh-CN"/>
              </w:rPr>
              <w:t>-</w:t>
            </w:r>
            <w:r>
              <w:rPr>
                <w:rFonts w:ascii="Times New Roman" w:hAnsi="Times New Roman" w:cs="Times New Roman"/>
                <w:spacing w:val="-4"/>
                <w:sz w:val="18"/>
                <w:lang w:eastAsia="zh-CN"/>
              </w:rPr>
              <w:t>五氯联苯</w:t>
            </w:r>
            <w:r>
              <w:rPr>
                <w:rFonts w:ascii="Times New Roman" w:hAnsi="Times New Roman" w:cs="Times New Roman"/>
                <w:spacing w:val="-3"/>
                <w:sz w:val="18"/>
                <w:lang w:eastAsia="zh-CN"/>
              </w:rPr>
              <w:t>（</w:t>
            </w:r>
            <w:r>
              <w:rPr>
                <w:rFonts w:ascii="Times New Roman" w:hAnsi="Times New Roman" w:cs="Times New Roman"/>
                <w:sz w:val="18"/>
                <w:lang w:eastAsia="zh-CN"/>
              </w:rPr>
              <w:t>P</w:t>
            </w:r>
            <w:r>
              <w:rPr>
                <w:rFonts w:ascii="Times New Roman" w:hAnsi="Times New Roman" w:cs="Times New Roman"/>
                <w:spacing w:val="-1"/>
                <w:sz w:val="18"/>
                <w:lang w:eastAsia="zh-CN"/>
              </w:rPr>
              <w:t>CB</w:t>
            </w:r>
            <w:r>
              <w:rPr>
                <w:rFonts w:ascii="Times New Roman" w:hAnsi="Times New Roman" w:cs="Times New Roman"/>
                <w:spacing w:val="-4"/>
                <w:sz w:val="18"/>
                <w:lang w:eastAsia="zh-CN"/>
              </w:rPr>
              <w:t>1</w:t>
            </w:r>
            <w:r>
              <w:rPr>
                <w:rFonts w:ascii="Times New Roman" w:hAnsi="Times New Roman" w:cs="Times New Roman"/>
                <w:spacing w:val="-2"/>
                <w:sz w:val="18"/>
                <w:lang w:eastAsia="zh-CN"/>
              </w:rPr>
              <w:t>18</w:t>
            </w:r>
            <w:r>
              <w:rPr>
                <w:rFonts w:ascii="Times New Roman" w:hAnsi="Times New Roman" w:cs="Times New Roman"/>
                <w:spacing w:val="-17"/>
                <w:sz w:val="18"/>
                <w:lang w:eastAsia="zh-CN"/>
              </w:rPr>
              <w:t>）、</w:t>
            </w:r>
            <w:r>
              <w:rPr>
                <w:rFonts w:ascii="Times New Roman" w:hAnsi="Times New Roman" w:cs="Times New Roman"/>
                <w:spacing w:val="1"/>
                <w:sz w:val="18"/>
                <w:lang w:eastAsia="zh-CN"/>
              </w:rPr>
              <w:t>2</w:t>
            </w:r>
            <w:r>
              <w:rPr>
                <w:rFonts w:ascii="Times New Roman" w:hAnsi="Times New Roman" w:cs="Times New Roman"/>
                <w:spacing w:val="-2"/>
                <w:sz w:val="18"/>
                <w:lang w:eastAsia="zh-CN"/>
              </w:rPr>
              <w:t>,</w:t>
            </w:r>
            <w:r>
              <w:rPr>
                <w:rFonts w:ascii="Times New Roman" w:hAnsi="Times New Roman" w:cs="Times New Roman"/>
                <w:spacing w:val="1"/>
                <w:sz w:val="18"/>
                <w:lang w:eastAsia="zh-CN"/>
              </w:rPr>
              <w:t>3</w:t>
            </w:r>
            <w:r>
              <w:rPr>
                <w:rFonts w:ascii="Times New Roman" w:hAnsi="Times New Roman" w:cs="Times New Roman"/>
                <w:sz w:val="18"/>
                <w:lang w:eastAsia="zh-CN"/>
              </w:rPr>
              <w:t>,</w:t>
            </w:r>
            <w:r>
              <w:rPr>
                <w:rFonts w:ascii="Times New Roman" w:hAnsi="Times New Roman" w:cs="Times New Roman"/>
                <w:spacing w:val="-2"/>
                <w:sz w:val="18"/>
                <w:lang w:eastAsia="zh-CN"/>
              </w:rPr>
              <w:t>3'</w:t>
            </w:r>
            <w:r>
              <w:rPr>
                <w:rFonts w:ascii="Times New Roman" w:hAnsi="Times New Roman" w:cs="Times New Roman"/>
                <w:sz w:val="18"/>
                <w:lang w:eastAsia="zh-CN"/>
              </w:rPr>
              <w:t>,</w:t>
            </w:r>
            <w:r>
              <w:rPr>
                <w:rFonts w:ascii="Times New Roman" w:hAnsi="Times New Roman" w:cs="Times New Roman"/>
                <w:spacing w:val="1"/>
                <w:sz w:val="18"/>
                <w:lang w:eastAsia="zh-CN"/>
              </w:rPr>
              <w:t>4</w:t>
            </w:r>
            <w:r>
              <w:rPr>
                <w:rFonts w:ascii="Times New Roman" w:hAnsi="Times New Roman" w:cs="Times New Roman"/>
                <w:sz w:val="18"/>
                <w:lang w:eastAsia="zh-CN"/>
              </w:rPr>
              <w:t>,</w:t>
            </w:r>
            <w:r>
              <w:rPr>
                <w:rFonts w:ascii="Times New Roman" w:hAnsi="Times New Roman" w:cs="Times New Roman"/>
                <w:spacing w:val="-2"/>
                <w:sz w:val="18"/>
                <w:lang w:eastAsia="zh-CN"/>
              </w:rPr>
              <w:t>4'</w:t>
            </w:r>
            <w:r>
              <w:rPr>
                <w:rFonts w:ascii="Times New Roman" w:hAnsi="Times New Roman" w:cs="Times New Roman"/>
                <w:spacing w:val="2"/>
                <w:sz w:val="18"/>
                <w:lang w:eastAsia="zh-CN"/>
              </w:rPr>
              <w:t>-</w:t>
            </w:r>
            <w:r>
              <w:rPr>
                <w:rFonts w:ascii="Times New Roman" w:hAnsi="Times New Roman" w:cs="Times New Roman"/>
                <w:spacing w:val="-5"/>
                <w:sz w:val="18"/>
                <w:lang w:eastAsia="zh-CN"/>
              </w:rPr>
              <w:t>五氯联苯</w:t>
            </w:r>
            <w:r>
              <w:rPr>
                <w:rFonts w:ascii="Times New Roman" w:hAnsi="Times New Roman" w:cs="Times New Roman"/>
                <w:sz w:val="18"/>
                <w:lang w:eastAsia="zh-CN"/>
              </w:rPr>
              <w:t>（P</w:t>
            </w:r>
            <w:r>
              <w:rPr>
                <w:rFonts w:ascii="Times New Roman" w:hAnsi="Times New Roman" w:cs="Times New Roman"/>
                <w:spacing w:val="-1"/>
                <w:sz w:val="18"/>
                <w:lang w:eastAsia="zh-CN"/>
              </w:rPr>
              <w:t>CB</w:t>
            </w:r>
            <w:r>
              <w:rPr>
                <w:rFonts w:ascii="Times New Roman" w:hAnsi="Times New Roman" w:cs="Times New Roman"/>
                <w:spacing w:val="1"/>
                <w:sz w:val="18"/>
                <w:lang w:eastAsia="zh-CN"/>
              </w:rPr>
              <w:t>1</w:t>
            </w:r>
            <w:r>
              <w:rPr>
                <w:rFonts w:ascii="Times New Roman" w:hAnsi="Times New Roman" w:cs="Times New Roman"/>
                <w:spacing w:val="-2"/>
                <w:sz w:val="18"/>
                <w:lang w:eastAsia="zh-CN"/>
              </w:rPr>
              <w:t>05</w:t>
            </w:r>
            <w:r>
              <w:rPr>
                <w:rFonts w:ascii="Times New Roman" w:hAnsi="Times New Roman" w:cs="Times New Roman"/>
                <w:spacing w:val="-89"/>
                <w:sz w:val="18"/>
                <w:lang w:eastAsia="zh-CN"/>
              </w:rPr>
              <w:t>）</w:t>
            </w:r>
            <w:r>
              <w:rPr>
                <w:rFonts w:ascii="Times New Roman" w:hAnsi="Times New Roman" w:cs="Times New Roman"/>
                <w:sz w:val="18"/>
                <w:lang w:eastAsia="zh-CN"/>
              </w:rPr>
              <w:t>、</w:t>
            </w:r>
          </w:p>
          <w:p>
            <w:pPr>
              <w:pStyle w:val="38"/>
              <w:spacing w:before="119"/>
              <w:rPr>
                <w:rFonts w:ascii="Times New Roman" w:hAnsi="Times New Roman" w:cs="Times New Roman"/>
                <w:sz w:val="18"/>
                <w:lang w:eastAsia="zh-CN"/>
              </w:rPr>
            </w:pPr>
            <w:r>
              <w:rPr>
                <w:rFonts w:ascii="Times New Roman" w:hAnsi="Times New Roman" w:cs="Times New Roman"/>
                <w:sz w:val="18"/>
                <w:lang w:eastAsia="zh-CN"/>
              </w:rPr>
              <w:t>2,3,4,4',5-五氯联苯（PCB114）、3,3',4,4',5-五氯联苯（PCB126）、3,3',4,4'-四氯联苯（PCB77）、3,4,4',5-四氯联苯（PCB81）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2942" w:type="dxa"/>
            <w:vAlign w:val="center"/>
          </w:tcPr>
          <w:p>
            <w:pPr>
              <w:pStyle w:val="38"/>
              <w:spacing w:before="1"/>
              <w:rPr>
                <w:rFonts w:ascii="Times New Roman" w:hAnsi="Times New Roman" w:cs="Times New Roman"/>
                <w:sz w:val="18"/>
              </w:rPr>
            </w:pPr>
            <w:r>
              <w:rPr>
                <w:rFonts w:ascii="Times New Roman" w:hAnsi="Times New Roman" w:cs="Times New Roman"/>
                <w:sz w:val="18"/>
              </w:rPr>
              <w:t>C5 类-二噁英类</w:t>
            </w:r>
          </w:p>
        </w:tc>
        <w:tc>
          <w:tcPr>
            <w:tcW w:w="10520" w:type="dxa"/>
            <w:vAlign w:val="center"/>
          </w:tcPr>
          <w:p>
            <w:pPr>
              <w:pStyle w:val="38"/>
              <w:spacing w:before="1"/>
              <w:rPr>
                <w:rFonts w:ascii="Times New Roman" w:hAnsi="Times New Roman" w:cs="Times New Roman"/>
                <w:sz w:val="18"/>
                <w:lang w:eastAsia="zh-CN"/>
              </w:rPr>
            </w:pPr>
            <w:r>
              <w:rPr>
                <w:rFonts w:ascii="Times New Roman" w:hAnsi="Times New Roman" w:cs="Times New Roman"/>
                <w:sz w:val="18"/>
                <w:lang w:eastAsia="zh-CN"/>
              </w:rPr>
              <w:t>二噁英类（具有毒性当量组分）*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50" w:hRule="atLeast"/>
          <w:jc w:val="center"/>
        </w:trPr>
        <w:tc>
          <w:tcPr>
            <w:tcW w:w="2942" w:type="dxa"/>
            <w:vAlign w:val="center"/>
          </w:tcPr>
          <w:p>
            <w:pPr>
              <w:pStyle w:val="38"/>
              <w:spacing w:before="1"/>
              <w:rPr>
                <w:rFonts w:ascii="Times New Roman" w:hAnsi="Times New Roman" w:cs="Times New Roman"/>
                <w:sz w:val="18"/>
              </w:rPr>
            </w:pPr>
            <w:r>
              <w:rPr>
                <w:rFonts w:ascii="Times New Roman" w:hAnsi="Times New Roman" w:cs="Times New Roman"/>
                <w:sz w:val="18"/>
              </w:rPr>
              <w:t>D1 类-土壤 pH</w:t>
            </w:r>
          </w:p>
        </w:tc>
        <w:tc>
          <w:tcPr>
            <w:tcW w:w="10520" w:type="dxa"/>
            <w:vAlign w:val="center"/>
          </w:tcPr>
          <w:p>
            <w:pPr>
              <w:pStyle w:val="38"/>
              <w:spacing w:before="1"/>
              <w:rPr>
                <w:rFonts w:ascii="Times New Roman" w:hAnsi="Times New Roman" w:cs="Times New Roman"/>
                <w:sz w:val="18"/>
              </w:rPr>
            </w:pPr>
            <w:r>
              <w:rPr>
                <w:rFonts w:ascii="Times New Roman" w:hAnsi="Times New Roman" w:cs="Times New Roman"/>
                <w:sz w:val="18"/>
              </w:rPr>
              <w:t>土壤 pH</w:t>
            </w:r>
          </w:p>
        </w:tc>
      </w:tr>
    </w:tbl>
    <w:p>
      <w:pPr>
        <w:spacing w:before="42"/>
        <w:ind w:firstLine="420"/>
        <w:rPr>
          <w:sz w:val="18"/>
        </w:rPr>
      </w:pPr>
      <w:r>
        <w:rPr>
          <w:sz w:val="18"/>
        </w:rPr>
        <w:t>注：</w:t>
      </w:r>
      <w:r>
        <w:rPr>
          <w:rFonts w:ascii="Times New Roman" w:eastAsia="Times New Roman"/>
          <w:sz w:val="18"/>
        </w:rPr>
        <w:t>*</w:t>
      </w:r>
      <w:r>
        <w:rPr>
          <w:sz w:val="18"/>
        </w:rPr>
        <w:t>不含共平面多氯联苯。</w:t>
      </w:r>
    </w:p>
    <w:p>
      <w:pPr>
        <w:pStyle w:val="8"/>
        <w:spacing w:before="7"/>
        <w:jc w:val="center"/>
        <w:rPr>
          <w:rFonts w:ascii="Times New Roman" w:hAnsi="Times New Roman" w:cs="Times New Roman"/>
          <w:snapToGrid w:val="0"/>
          <w:sz w:val="24"/>
          <w:szCs w:val="24"/>
          <w:lang w:eastAsia="zh-CN"/>
        </w:rPr>
      </w:pPr>
    </w:p>
    <w:p>
      <w:pPr>
        <w:pStyle w:val="8"/>
        <w:spacing w:before="7"/>
        <w:jc w:val="center"/>
        <w:rPr>
          <w:rFonts w:ascii="Times New Roman" w:hAnsi="Times New Roman" w:cs="Times New Roman"/>
          <w:snapToGrid w:val="0"/>
          <w:sz w:val="24"/>
          <w:szCs w:val="24"/>
          <w:lang w:eastAsia="zh-CN"/>
        </w:rPr>
        <w:sectPr>
          <w:pgSz w:w="16838" w:h="11906" w:orient="landscape"/>
          <w:pgMar w:top="1800" w:right="1440" w:bottom="1800" w:left="1440" w:header="851" w:footer="992" w:gutter="0"/>
          <w:cols w:space="425" w:num="1"/>
          <w:docGrid w:type="lines" w:linePitch="312" w:charSpace="0"/>
        </w:sectPr>
      </w:pPr>
    </w:p>
    <w:p>
      <w:pPr>
        <w:pStyle w:val="8"/>
        <w:spacing w:before="7"/>
        <w:jc w:val="center"/>
        <w:rPr>
          <w:rFonts w:ascii="Times New Roman" w:hAnsi="Times New Roman" w:cs="Times New Roman"/>
          <w:b/>
          <w:snapToGrid w:val="0"/>
          <w:sz w:val="24"/>
          <w:szCs w:val="24"/>
          <w:lang w:eastAsia="zh-CN"/>
        </w:rPr>
      </w:pPr>
      <w:r>
        <w:rPr>
          <w:rFonts w:hint="eastAsia" w:ascii="Times New Roman" w:hAnsi="Times New Roman" w:cs="Times New Roman"/>
          <w:b/>
          <w:snapToGrid w:val="0"/>
          <w:sz w:val="24"/>
          <w:szCs w:val="24"/>
          <w:lang w:eastAsia="zh-CN"/>
        </w:rPr>
        <w:t>表7.1-2</w:t>
      </w:r>
      <w:r>
        <w:rPr>
          <w:rFonts w:ascii="Times New Roman" w:hAnsi="Times New Roman" w:cs="Times New Roman"/>
          <w:b/>
          <w:snapToGrid w:val="0"/>
          <w:sz w:val="24"/>
          <w:szCs w:val="24"/>
          <w:lang w:eastAsia="zh-CN"/>
        </w:rPr>
        <w:t xml:space="preserve"> </w:t>
      </w:r>
      <w:r>
        <w:rPr>
          <w:rFonts w:hint="eastAsia" w:ascii="Times New Roman" w:hAnsi="Times New Roman" w:cs="Times New Roman"/>
          <w:b/>
          <w:snapToGrid w:val="0"/>
          <w:sz w:val="24"/>
          <w:szCs w:val="24"/>
          <w:lang w:eastAsia="zh-CN"/>
        </w:rPr>
        <w:t>各行业常见污染物类别</w:t>
      </w:r>
    </w:p>
    <w:tbl>
      <w:tblPr>
        <w:tblStyle w:val="18"/>
        <w:tblW w:w="14006"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Layout w:type="fixed"/>
        <w:tblCellMar>
          <w:top w:w="0" w:type="dxa"/>
          <w:left w:w="108" w:type="dxa"/>
          <w:bottom w:w="0" w:type="dxa"/>
          <w:right w:w="108" w:type="dxa"/>
        </w:tblCellMar>
      </w:tblPr>
      <w:tblGrid>
        <w:gridCol w:w="2684"/>
        <w:gridCol w:w="3412"/>
        <w:gridCol w:w="7910"/>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601" w:hRule="atLeast"/>
          <w:tblHeader/>
          <w:jc w:val="center"/>
        </w:trPr>
        <w:tc>
          <w:tcPr>
            <w:tcW w:w="2684" w:type="dxa"/>
            <w:vAlign w:val="center"/>
          </w:tcPr>
          <w:p>
            <w:pPr>
              <w:pStyle w:val="38"/>
              <w:ind w:right="25"/>
              <w:jc w:val="center"/>
              <w:rPr>
                <w:rFonts w:ascii="Times New Roman" w:hAnsi="Times New Roman" w:cs="Times New Roman"/>
                <w:b/>
                <w:sz w:val="18"/>
                <w:szCs w:val="18"/>
              </w:rPr>
            </w:pPr>
            <w:r>
              <w:rPr>
                <w:rFonts w:ascii="Times New Roman" w:hAnsi="Times New Roman" w:cs="Times New Roman"/>
                <w:b/>
                <w:sz w:val="18"/>
                <w:szCs w:val="18"/>
              </w:rPr>
              <w:t>大类</w:t>
            </w:r>
          </w:p>
        </w:tc>
        <w:tc>
          <w:tcPr>
            <w:tcW w:w="3412" w:type="dxa"/>
            <w:vAlign w:val="center"/>
          </w:tcPr>
          <w:p>
            <w:pPr>
              <w:pStyle w:val="38"/>
              <w:ind w:right="89"/>
              <w:jc w:val="center"/>
              <w:rPr>
                <w:rFonts w:ascii="Times New Roman" w:hAnsi="Times New Roman" w:cs="Times New Roman"/>
                <w:b/>
                <w:sz w:val="18"/>
                <w:szCs w:val="18"/>
              </w:rPr>
            </w:pPr>
            <w:r>
              <w:rPr>
                <w:rFonts w:ascii="Times New Roman" w:hAnsi="Times New Roman" w:cs="Times New Roman"/>
                <w:b/>
                <w:sz w:val="18"/>
                <w:szCs w:val="18"/>
              </w:rPr>
              <w:t>中类</w:t>
            </w:r>
          </w:p>
        </w:tc>
        <w:tc>
          <w:tcPr>
            <w:tcW w:w="7910" w:type="dxa"/>
            <w:vAlign w:val="center"/>
          </w:tcPr>
          <w:p>
            <w:pPr>
              <w:pStyle w:val="38"/>
              <w:ind w:right="353"/>
              <w:jc w:val="center"/>
              <w:rPr>
                <w:rFonts w:ascii="Times New Roman" w:hAnsi="Times New Roman" w:cs="Times New Roman"/>
                <w:b/>
                <w:sz w:val="18"/>
                <w:szCs w:val="18"/>
              </w:rPr>
            </w:pPr>
            <w:r>
              <w:rPr>
                <w:rFonts w:ascii="Times New Roman" w:hAnsi="Times New Roman" w:cs="Times New Roman"/>
                <w:b/>
                <w:sz w:val="18"/>
                <w:szCs w:val="18"/>
              </w:rPr>
              <w:t>常见污染物类别</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455" w:hRule="atLeast"/>
          <w:jc w:val="center"/>
        </w:trPr>
        <w:tc>
          <w:tcPr>
            <w:tcW w:w="2684" w:type="dxa"/>
            <w:vAlign w:val="center"/>
          </w:tcPr>
          <w:p>
            <w:pPr>
              <w:pStyle w:val="38"/>
              <w:spacing w:before="111"/>
              <w:ind w:right="25"/>
              <w:jc w:val="center"/>
              <w:rPr>
                <w:rFonts w:ascii="Times New Roman" w:hAnsi="Times New Roman" w:cs="Times New Roman"/>
                <w:sz w:val="18"/>
                <w:szCs w:val="18"/>
              </w:rPr>
            </w:pPr>
            <w:r>
              <w:rPr>
                <w:rFonts w:ascii="Times New Roman" w:hAnsi="Times New Roman" w:cs="Times New Roman"/>
                <w:sz w:val="18"/>
                <w:szCs w:val="18"/>
              </w:rPr>
              <w:t>07 石油和天然气开采业</w:t>
            </w:r>
          </w:p>
        </w:tc>
        <w:tc>
          <w:tcPr>
            <w:tcW w:w="3412" w:type="dxa"/>
            <w:vAlign w:val="center"/>
          </w:tcPr>
          <w:p>
            <w:pPr>
              <w:pStyle w:val="38"/>
              <w:spacing w:before="94"/>
              <w:ind w:right="86"/>
              <w:jc w:val="center"/>
              <w:rPr>
                <w:rFonts w:ascii="Times New Roman" w:hAnsi="Times New Roman" w:cs="Times New Roman"/>
                <w:sz w:val="18"/>
                <w:szCs w:val="18"/>
              </w:rPr>
            </w:pPr>
            <w:r>
              <w:rPr>
                <w:rFonts w:ascii="Times New Roman" w:hAnsi="Times New Roman" w:cs="Times New Roman"/>
                <w:sz w:val="18"/>
                <w:szCs w:val="18"/>
              </w:rPr>
              <w:t>071 石油开采</w:t>
            </w:r>
          </w:p>
        </w:tc>
        <w:tc>
          <w:tcPr>
            <w:tcW w:w="7910" w:type="dxa"/>
            <w:vAlign w:val="center"/>
          </w:tcPr>
          <w:p>
            <w:pPr>
              <w:pStyle w:val="38"/>
              <w:spacing w:before="111"/>
              <w:ind w:right="353"/>
              <w:jc w:val="center"/>
              <w:rPr>
                <w:rFonts w:ascii="Times New Roman" w:hAnsi="Times New Roman" w:cs="Times New Roman"/>
                <w:sz w:val="18"/>
                <w:szCs w:val="18"/>
              </w:rPr>
            </w:pPr>
            <w:r>
              <w:rPr>
                <w:rFonts w:ascii="Times New Roman" w:hAnsi="Times New Roman" w:cs="Times New Roman"/>
                <w:sz w:val="18"/>
                <w:szCs w:val="18"/>
              </w:rPr>
              <w:t>A1 类、B2 类-、C1 类、C3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67" w:hRule="atLeast"/>
          <w:jc w:val="center"/>
        </w:trPr>
        <w:tc>
          <w:tcPr>
            <w:tcW w:w="2684" w:type="dxa"/>
            <w:vMerge w:val="restart"/>
            <w:vAlign w:val="center"/>
          </w:tcPr>
          <w:p>
            <w:pPr>
              <w:pStyle w:val="38"/>
              <w:rPr>
                <w:rFonts w:ascii="Times New Roman" w:hAnsi="Times New Roman" w:cs="Times New Roman"/>
                <w:sz w:val="18"/>
                <w:szCs w:val="18"/>
              </w:rPr>
            </w:pPr>
            <w:r>
              <w:rPr>
                <w:rFonts w:ascii="Times New Roman" w:hAnsi="Times New Roman" w:cs="Times New Roman"/>
                <w:sz w:val="18"/>
                <w:szCs w:val="18"/>
              </w:rPr>
              <w:t>08 黑色金属矿采选业</w:t>
            </w:r>
          </w:p>
        </w:tc>
        <w:tc>
          <w:tcPr>
            <w:tcW w:w="3412" w:type="dxa"/>
            <w:vAlign w:val="center"/>
          </w:tcPr>
          <w:p>
            <w:pPr>
              <w:pStyle w:val="38"/>
              <w:spacing w:before="1"/>
              <w:ind w:right="86"/>
              <w:jc w:val="center"/>
              <w:rPr>
                <w:rFonts w:ascii="Times New Roman" w:hAnsi="Times New Roman" w:cs="Times New Roman"/>
                <w:sz w:val="18"/>
                <w:szCs w:val="18"/>
              </w:rPr>
            </w:pPr>
            <w:r>
              <w:rPr>
                <w:rFonts w:ascii="Times New Roman" w:hAnsi="Times New Roman" w:cs="Times New Roman"/>
                <w:sz w:val="18"/>
                <w:szCs w:val="18"/>
              </w:rPr>
              <w:t>081 铁矿采选</w:t>
            </w:r>
          </w:p>
        </w:tc>
        <w:tc>
          <w:tcPr>
            <w:tcW w:w="7910" w:type="dxa"/>
            <w:vMerge w:val="restart"/>
            <w:vAlign w:val="center"/>
          </w:tcPr>
          <w:p>
            <w:pPr>
              <w:pStyle w:val="38"/>
              <w:ind w:right="351"/>
              <w:jc w:val="center"/>
              <w:rPr>
                <w:rFonts w:ascii="Times New Roman" w:hAnsi="Times New Roman" w:cs="Times New Roman"/>
                <w:sz w:val="18"/>
                <w:szCs w:val="18"/>
              </w:rPr>
            </w:pPr>
            <w:r>
              <w:rPr>
                <w:rFonts w:ascii="Times New Roman" w:hAnsi="Times New Roman" w:cs="Times New Roman"/>
                <w:sz w:val="18"/>
                <w:szCs w:val="18"/>
              </w:rPr>
              <w:t>A1 类、A2 类、A3 类、D1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69" w:hRule="atLeast"/>
          <w:jc w:val="center"/>
        </w:trPr>
        <w:tc>
          <w:tcPr>
            <w:tcW w:w="2684" w:type="dxa"/>
            <w:vMerge w:val="continue"/>
            <w:vAlign w:val="center"/>
          </w:tcPr>
          <w:p>
            <w:pPr>
              <w:rPr>
                <w:rFonts w:ascii="Times New Roman" w:hAnsi="Times New Roman"/>
                <w:sz w:val="18"/>
                <w:szCs w:val="18"/>
              </w:rPr>
            </w:pPr>
          </w:p>
        </w:tc>
        <w:tc>
          <w:tcPr>
            <w:tcW w:w="3412" w:type="dxa"/>
            <w:vAlign w:val="center"/>
          </w:tcPr>
          <w:p>
            <w:pPr>
              <w:pStyle w:val="38"/>
              <w:spacing w:before="1"/>
              <w:ind w:right="89"/>
              <w:jc w:val="center"/>
              <w:rPr>
                <w:rFonts w:ascii="Times New Roman" w:hAnsi="Times New Roman" w:cs="Times New Roman"/>
                <w:sz w:val="18"/>
                <w:szCs w:val="18"/>
              </w:rPr>
            </w:pPr>
            <w:r>
              <w:rPr>
                <w:rFonts w:ascii="Times New Roman" w:hAnsi="Times New Roman" w:cs="Times New Roman"/>
                <w:sz w:val="18"/>
                <w:szCs w:val="18"/>
              </w:rPr>
              <w:t>082 锰矿、铬矿采选</w:t>
            </w:r>
          </w:p>
        </w:tc>
        <w:tc>
          <w:tcPr>
            <w:tcW w:w="7910" w:type="dxa"/>
            <w:vMerge w:val="continue"/>
            <w:vAlign w:val="center"/>
          </w:tcPr>
          <w:p>
            <w:pPr>
              <w:rPr>
                <w:rFonts w:ascii="Times New Roman" w:hAnsi="Times New Roman"/>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67" w:hRule="atLeast"/>
          <w:jc w:val="center"/>
        </w:trPr>
        <w:tc>
          <w:tcPr>
            <w:tcW w:w="2684" w:type="dxa"/>
            <w:vMerge w:val="continue"/>
            <w:vAlign w:val="center"/>
          </w:tcPr>
          <w:p>
            <w:pPr>
              <w:rPr>
                <w:rFonts w:ascii="Times New Roman" w:hAnsi="Times New Roman"/>
                <w:sz w:val="18"/>
                <w:szCs w:val="18"/>
              </w:rPr>
            </w:pPr>
          </w:p>
        </w:tc>
        <w:tc>
          <w:tcPr>
            <w:tcW w:w="3412" w:type="dxa"/>
            <w:vAlign w:val="center"/>
          </w:tcPr>
          <w:p>
            <w:pPr>
              <w:pStyle w:val="38"/>
              <w:spacing w:before="1"/>
              <w:ind w:right="89"/>
              <w:jc w:val="center"/>
              <w:rPr>
                <w:rFonts w:ascii="Times New Roman" w:hAnsi="Times New Roman" w:cs="Times New Roman"/>
                <w:sz w:val="18"/>
                <w:szCs w:val="18"/>
              </w:rPr>
            </w:pPr>
            <w:r>
              <w:rPr>
                <w:rFonts w:ascii="Times New Roman" w:hAnsi="Times New Roman" w:cs="Times New Roman"/>
                <w:sz w:val="18"/>
                <w:szCs w:val="18"/>
              </w:rPr>
              <w:t>089 其他黑色金属矿采选</w:t>
            </w:r>
          </w:p>
        </w:tc>
        <w:tc>
          <w:tcPr>
            <w:tcW w:w="7910" w:type="dxa"/>
            <w:vMerge w:val="continue"/>
            <w:vAlign w:val="center"/>
          </w:tcPr>
          <w:p>
            <w:pPr>
              <w:rPr>
                <w:rFonts w:ascii="Times New Roman" w:hAnsi="Times New Roman"/>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67" w:hRule="atLeast"/>
          <w:jc w:val="center"/>
        </w:trPr>
        <w:tc>
          <w:tcPr>
            <w:tcW w:w="2684" w:type="dxa"/>
            <w:vMerge w:val="restart"/>
            <w:vAlign w:val="center"/>
          </w:tcPr>
          <w:p>
            <w:pPr>
              <w:pStyle w:val="38"/>
              <w:spacing w:before="1"/>
              <w:rPr>
                <w:rFonts w:ascii="Times New Roman" w:hAnsi="Times New Roman" w:cs="Times New Roman"/>
                <w:sz w:val="18"/>
                <w:szCs w:val="18"/>
              </w:rPr>
            </w:pPr>
            <w:r>
              <w:rPr>
                <w:rFonts w:ascii="Times New Roman" w:hAnsi="Times New Roman" w:cs="Times New Roman"/>
                <w:sz w:val="18"/>
                <w:szCs w:val="18"/>
              </w:rPr>
              <w:t>09 有色金属矿采选业</w:t>
            </w:r>
          </w:p>
        </w:tc>
        <w:tc>
          <w:tcPr>
            <w:tcW w:w="3412" w:type="dxa"/>
            <w:vAlign w:val="center"/>
          </w:tcPr>
          <w:p>
            <w:pPr>
              <w:pStyle w:val="38"/>
              <w:spacing w:before="1"/>
              <w:ind w:right="89"/>
              <w:jc w:val="center"/>
              <w:rPr>
                <w:rFonts w:ascii="Times New Roman" w:hAnsi="Times New Roman" w:cs="Times New Roman"/>
                <w:sz w:val="18"/>
                <w:szCs w:val="18"/>
              </w:rPr>
            </w:pPr>
            <w:r>
              <w:rPr>
                <w:rFonts w:ascii="Times New Roman" w:hAnsi="Times New Roman" w:cs="Times New Roman"/>
                <w:sz w:val="18"/>
                <w:szCs w:val="18"/>
              </w:rPr>
              <w:t>091 常用有色金属矿采选</w:t>
            </w:r>
          </w:p>
        </w:tc>
        <w:tc>
          <w:tcPr>
            <w:tcW w:w="7910" w:type="dxa"/>
            <w:vMerge w:val="restart"/>
            <w:vAlign w:val="center"/>
          </w:tcPr>
          <w:p>
            <w:pPr>
              <w:pStyle w:val="38"/>
              <w:spacing w:before="1"/>
              <w:ind w:right="353"/>
              <w:jc w:val="center"/>
              <w:rPr>
                <w:rFonts w:ascii="Times New Roman" w:hAnsi="Times New Roman" w:cs="Times New Roman"/>
                <w:sz w:val="18"/>
                <w:szCs w:val="18"/>
              </w:rPr>
            </w:pPr>
            <w:r>
              <w:rPr>
                <w:rFonts w:ascii="Times New Roman" w:hAnsi="Times New Roman" w:cs="Times New Roman"/>
                <w:sz w:val="18"/>
                <w:szCs w:val="18"/>
              </w:rPr>
              <w:t>A1 类、A2 类、A3 类、D1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69" w:hRule="atLeast"/>
          <w:jc w:val="center"/>
        </w:trPr>
        <w:tc>
          <w:tcPr>
            <w:tcW w:w="2684" w:type="dxa"/>
            <w:vMerge w:val="continue"/>
            <w:vAlign w:val="center"/>
          </w:tcPr>
          <w:p>
            <w:pPr>
              <w:rPr>
                <w:rFonts w:ascii="Times New Roman" w:hAnsi="Times New Roman"/>
                <w:sz w:val="18"/>
                <w:szCs w:val="18"/>
              </w:rPr>
            </w:pPr>
          </w:p>
        </w:tc>
        <w:tc>
          <w:tcPr>
            <w:tcW w:w="3412" w:type="dxa"/>
            <w:vAlign w:val="center"/>
          </w:tcPr>
          <w:p>
            <w:pPr>
              <w:pStyle w:val="38"/>
              <w:spacing w:before="1"/>
              <w:ind w:right="86"/>
              <w:jc w:val="center"/>
              <w:rPr>
                <w:rFonts w:ascii="Times New Roman" w:hAnsi="Times New Roman" w:cs="Times New Roman"/>
                <w:sz w:val="18"/>
                <w:szCs w:val="18"/>
              </w:rPr>
            </w:pPr>
            <w:r>
              <w:rPr>
                <w:rFonts w:ascii="Times New Roman" w:hAnsi="Times New Roman" w:cs="Times New Roman"/>
                <w:sz w:val="18"/>
                <w:szCs w:val="18"/>
              </w:rPr>
              <w:t>092 贵金属矿采选</w:t>
            </w:r>
          </w:p>
        </w:tc>
        <w:tc>
          <w:tcPr>
            <w:tcW w:w="7910" w:type="dxa"/>
            <w:vMerge w:val="continue"/>
            <w:vAlign w:val="center"/>
          </w:tcPr>
          <w:p>
            <w:pPr>
              <w:rPr>
                <w:rFonts w:ascii="Times New Roman" w:hAnsi="Times New Roman"/>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67" w:hRule="atLeast"/>
          <w:jc w:val="center"/>
        </w:trPr>
        <w:tc>
          <w:tcPr>
            <w:tcW w:w="2684" w:type="dxa"/>
            <w:vMerge w:val="continue"/>
            <w:vAlign w:val="center"/>
          </w:tcPr>
          <w:p>
            <w:pPr>
              <w:rPr>
                <w:rFonts w:ascii="Times New Roman" w:hAnsi="Times New Roman"/>
                <w:sz w:val="18"/>
                <w:szCs w:val="18"/>
              </w:rPr>
            </w:pPr>
          </w:p>
        </w:tc>
        <w:tc>
          <w:tcPr>
            <w:tcW w:w="3412" w:type="dxa"/>
            <w:vAlign w:val="center"/>
          </w:tcPr>
          <w:p>
            <w:pPr>
              <w:pStyle w:val="38"/>
              <w:spacing w:before="1"/>
              <w:ind w:right="89"/>
              <w:jc w:val="center"/>
              <w:rPr>
                <w:rFonts w:ascii="Times New Roman" w:hAnsi="Times New Roman" w:cs="Times New Roman"/>
                <w:sz w:val="18"/>
                <w:szCs w:val="18"/>
              </w:rPr>
            </w:pPr>
            <w:r>
              <w:rPr>
                <w:rFonts w:ascii="Times New Roman" w:hAnsi="Times New Roman" w:cs="Times New Roman"/>
                <w:sz w:val="18"/>
                <w:szCs w:val="18"/>
              </w:rPr>
              <w:t>093 稀有稀土金属矿采选</w:t>
            </w:r>
          </w:p>
        </w:tc>
        <w:tc>
          <w:tcPr>
            <w:tcW w:w="7910" w:type="dxa"/>
            <w:vMerge w:val="continue"/>
            <w:vAlign w:val="center"/>
          </w:tcPr>
          <w:p>
            <w:pPr>
              <w:rPr>
                <w:rFonts w:ascii="Times New Roman" w:hAnsi="Times New Roman"/>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68" w:hRule="atLeast"/>
          <w:jc w:val="center"/>
        </w:trPr>
        <w:tc>
          <w:tcPr>
            <w:tcW w:w="2684" w:type="dxa"/>
            <w:vMerge w:val="restart"/>
            <w:vAlign w:val="center"/>
          </w:tcPr>
          <w:p>
            <w:pPr>
              <w:pStyle w:val="38"/>
              <w:ind w:right="25"/>
              <w:jc w:val="center"/>
              <w:rPr>
                <w:rFonts w:ascii="Times New Roman" w:hAnsi="Times New Roman" w:cs="Times New Roman"/>
                <w:sz w:val="18"/>
                <w:szCs w:val="18"/>
              </w:rPr>
            </w:pPr>
            <w:r>
              <w:rPr>
                <w:rFonts w:ascii="Times New Roman" w:hAnsi="Times New Roman" w:cs="Times New Roman"/>
                <w:sz w:val="18"/>
                <w:szCs w:val="18"/>
              </w:rPr>
              <w:t>17 纺织业</w:t>
            </w:r>
          </w:p>
        </w:tc>
        <w:tc>
          <w:tcPr>
            <w:tcW w:w="3412" w:type="dxa"/>
            <w:vAlign w:val="center"/>
          </w:tcPr>
          <w:p>
            <w:pPr>
              <w:pStyle w:val="38"/>
              <w:spacing w:before="1"/>
              <w:ind w:right="89"/>
              <w:jc w:val="center"/>
              <w:rPr>
                <w:rFonts w:ascii="Times New Roman" w:hAnsi="Times New Roman" w:cs="Times New Roman"/>
                <w:sz w:val="18"/>
                <w:szCs w:val="18"/>
              </w:rPr>
            </w:pPr>
            <w:r>
              <w:rPr>
                <w:rFonts w:ascii="Times New Roman" w:hAnsi="Times New Roman" w:cs="Times New Roman"/>
                <w:sz w:val="18"/>
                <w:szCs w:val="18"/>
              </w:rPr>
              <w:t>171 棉纺织及印染精加工</w:t>
            </w:r>
          </w:p>
        </w:tc>
        <w:tc>
          <w:tcPr>
            <w:tcW w:w="7910" w:type="dxa"/>
            <w:vMerge w:val="restart"/>
            <w:vAlign w:val="center"/>
          </w:tcPr>
          <w:p>
            <w:pPr>
              <w:pStyle w:val="38"/>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类、B1 类、B2 类、B3 类、C5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68" w:hRule="atLeast"/>
          <w:jc w:val="center"/>
        </w:trPr>
        <w:tc>
          <w:tcPr>
            <w:tcW w:w="2684" w:type="dxa"/>
            <w:vMerge w:val="continue"/>
            <w:vAlign w:val="center"/>
          </w:tcPr>
          <w:p>
            <w:pPr>
              <w:rPr>
                <w:rFonts w:ascii="Times New Roman" w:hAnsi="Times New Roman"/>
                <w:sz w:val="18"/>
                <w:szCs w:val="18"/>
              </w:rPr>
            </w:pPr>
          </w:p>
        </w:tc>
        <w:tc>
          <w:tcPr>
            <w:tcW w:w="3412" w:type="dxa"/>
            <w:vAlign w:val="center"/>
          </w:tcPr>
          <w:p>
            <w:pPr>
              <w:pStyle w:val="38"/>
              <w:spacing w:before="1"/>
              <w:ind w:right="89"/>
              <w:jc w:val="center"/>
              <w:rPr>
                <w:rFonts w:ascii="Times New Roman" w:hAnsi="Times New Roman" w:cs="Times New Roman"/>
                <w:sz w:val="18"/>
                <w:szCs w:val="18"/>
              </w:rPr>
            </w:pPr>
            <w:r>
              <w:rPr>
                <w:rFonts w:ascii="Times New Roman" w:hAnsi="Times New Roman" w:cs="Times New Roman"/>
                <w:sz w:val="18"/>
                <w:szCs w:val="18"/>
              </w:rPr>
              <w:t>172 毛纺织及染整精加工</w:t>
            </w:r>
          </w:p>
        </w:tc>
        <w:tc>
          <w:tcPr>
            <w:tcW w:w="7910" w:type="dxa"/>
            <w:vMerge w:val="continue"/>
            <w:vAlign w:val="center"/>
          </w:tcPr>
          <w:p>
            <w:pPr>
              <w:rPr>
                <w:rFonts w:ascii="Times New Roman" w:hAnsi="Times New Roman"/>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68" w:hRule="atLeast"/>
          <w:jc w:val="center"/>
        </w:trPr>
        <w:tc>
          <w:tcPr>
            <w:tcW w:w="2684" w:type="dxa"/>
            <w:vMerge w:val="continue"/>
            <w:vAlign w:val="center"/>
          </w:tcPr>
          <w:p>
            <w:pPr>
              <w:rPr>
                <w:rFonts w:ascii="Times New Roman" w:hAnsi="Times New Roman"/>
                <w:sz w:val="18"/>
                <w:szCs w:val="18"/>
              </w:rPr>
            </w:pPr>
          </w:p>
        </w:tc>
        <w:tc>
          <w:tcPr>
            <w:tcW w:w="3412" w:type="dxa"/>
            <w:vAlign w:val="center"/>
          </w:tcPr>
          <w:p>
            <w:pPr>
              <w:pStyle w:val="38"/>
              <w:spacing w:before="1"/>
              <w:ind w:right="89"/>
              <w:jc w:val="center"/>
              <w:rPr>
                <w:rFonts w:ascii="Times New Roman" w:hAnsi="Times New Roman" w:cs="Times New Roman"/>
                <w:sz w:val="18"/>
                <w:szCs w:val="18"/>
              </w:rPr>
            </w:pPr>
            <w:r>
              <w:rPr>
                <w:rFonts w:ascii="Times New Roman" w:hAnsi="Times New Roman" w:cs="Times New Roman"/>
                <w:sz w:val="18"/>
                <w:szCs w:val="18"/>
              </w:rPr>
              <w:t>173 麻纺织及染整精加工</w:t>
            </w:r>
          </w:p>
        </w:tc>
        <w:tc>
          <w:tcPr>
            <w:tcW w:w="7910" w:type="dxa"/>
            <w:vMerge w:val="continue"/>
            <w:vAlign w:val="center"/>
          </w:tcPr>
          <w:p>
            <w:pPr>
              <w:rPr>
                <w:rFonts w:ascii="Times New Roman" w:hAnsi="Times New Roman"/>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67" w:hRule="atLeast"/>
          <w:jc w:val="center"/>
        </w:trPr>
        <w:tc>
          <w:tcPr>
            <w:tcW w:w="2684" w:type="dxa"/>
            <w:vMerge w:val="continue"/>
            <w:vAlign w:val="center"/>
          </w:tcPr>
          <w:p>
            <w:pPr>
              <w:rPr>
                <w:rFonts w:ascii="Times New Roman" w:hAnsi="Times New Roman"/>
                <w:sz w:val="18"/>
                <w:szCs w:val="18"/>
              </w:rPr>
            </w:pPr>
          </w:p>
        </w:tc>
        <w:tc>
          <w:tcPr>
            <w:tcW w:w="3412" w:type="dxa"/>
            <w:vAlign w:val="center"/>
          </w:tcPr>
          <w:p>
            <w:pPr>
              <w:pStyle w:val="38"/>
              <w:spacing w:before="1"/>
              <w:ind w:right="86"/>
              <w:jc w:val="center"/>
              <w:rPr>
                <w:rFonts w:ascii="Times New Roman" w:hAnsi="Times New Roman" w:cs="Times New Roman"/>
                <w:sz w:val="18"/>
                <w:szCs w:val="18"/>
                <w:lang w:eastAsia="zh-CN"/>
              </w:rPr>
            </w:pPr>
            <w:r>
              <w:rPr>
                <w:rFonts w:ascii="Times New Roman" w:hAnsi="Times New Roman" w:cs="Times New Roman"/>
                <w:sz w:val="18"/>
                <w:szCs w:val="18"/>
                <w:lang w:eastAsia="zh-CN"/>
              </w:rPr>
              <w:t>174 丝绢纺织及印染精加工</w:t>
            </w:r>
          </w:p>
        </w:tc>
        <w:tc>
          <w:tcPr>
            <w:tcW w:w="7910" w:type="dxa"/>
            <w:vMerge w:val="continue"/>
            <w:vAlign w:val="center"/>
          </w:tcPr>
          <w:p>
            <w:pPr>
              <w:rPr>
                <w:rFonts w:ascii="Times New Roman" w:hAnsi="Times New Roman"/>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9" w:hRule="atLeast"/>
          <w:jc w:val="center"/>
        </w:trPr>
        <w:tc>
          <w:tcPr>
            <w:tcW w:w="2684" w:type="dxa"/>
            <w:vMerge w:val="continue"/>
            <w:vAlign w:val="center"/>
          </w:tcPr>
          <w:p>
            <w:pPr>
              <w:rPr>
                <w:rFonts w:ascii="Times New Roman" w:hAnsi="Times New Roman"/>
                <w:sz w:val="18"/>
                <w:szCs w:val="18"/>
              </w:rPr>
            </w:pPr>
          </w:p>
        </w:tc>
        <w:tc>
          <w:tcPr>
            <w:tcW w:w="3412" w:type="dxa"/>
            <w:vAlign w:val="center"/>
          </w:tcPr>
          <w:p>
            <w:pPr>
              <w:pStyle w:val="38"/>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lang w:eastAsia="zh-CN"/>
              </w:rPr>
              <w:t>175 化纤织造及印染精加工</w:t>
            </w:r>
          </w:p>
        </w:tc>
        <w:tc>
          <w:tcPr>
            <w:tcW w:w="7910" w:type="dxa"/>
            <w:vMerge w:val="continue"/>
            <w:vAlign w:val="center"/>
          </w:tcPr>
          <w:p>
            <w:pPr>
              <w:rPr>
                <w:rFonts w:ascii="Times New Roman" w:hAnsi="Times New Roman"/>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8" w:hRule="atLeast"/>
          <w:jc w:val="center"/>
        </w:trPr>
        <w:tc>
          <w:tcPr>
            <w:tcW w:w="2684" w:type="dxa"/>
            <w:vMerge w:val="continue"/>
            <w:vAlign w:val="center"/>
          </w:tcPr>
          <w:p>
            <w:pPr>
              <w:rPr>
                <w:rFonts w:ascii="Times New Roman" w:hAnsi="Times New Roman"/>
                <w:sz w:val="18"/>
                <w:szCs w:val="18"/>
              </w:rPr>
            </w:pPr>
          </w:p>
        </w:tc>
        <w:tc>
          <w:tcPr>
            <w:tcW w:w="3412" w:type="dxa"/>
            <w:vAlign w:val="center"/>
          </w:tcPr>
          <w:p>
            <w:pPr>
              <w:pStyle w:val="38"/>
              <w:spacing w:before="64"/>
              <w:ind w:right="86"/>
              <w:jc w:val="center"/>
              <w:rPr>
                <w:rFonts w:ascii="Times New Roman" w:hAnsi="Times New Roman" w:cs="Times New Roman"/>
                <w:sz w:val="18"/>
                <w:szCs w:val="18"/>
                <w:lang w:eastAsia="zh-CN"/>
              </w:rPr>
            </w:pPr>
            <w:r>
              <w:rPr>
                <w:rFonts w:ascii="Times New Roman" w:hAnsi="Times New Roman" w:cs="Times New Roman"/>
                <w:sz w:val="18"/>
                <w:szCs w:val="18"/>
                <w:lang w:eastAsia="zh-CN"/>
              </w:rPr>
              <w:t>176 针织或钩针编织物及其制品制造</w:t>
            </w:r>
          </w:p>
        </w:tc>
        <w:tc>
          <w:tcPr>
            <w:tcW w:w="7910" w:type="dxa"/>
            <w:vMerge w:val="continue"/>
            <w:vAlign w:val="center"/>
          </w:tcPr>
          <w:p>
            <w:pPr>
              <w:rPr>
                <w:rFonts w:ascii="Times New Roman" w:hAnsi="Times New Roman"/>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8" w:hRule="atLeast"/>
          <w:jc w:val="center"/>
        </w:trPr>
        <w:tc>
          <w:tcPr>
            <w:tcW w:w="2684" w:type="dxa"/>
            <w:vMerge w:val="restart"/>
            <w:vAlign w:val="center"/>
          </w:tcPr>
          <w:p>
            <w:pPr>
              <w:pStyle w:val="38"/>
              <w:spacing w:before="67"/>
              <w:ind w:right="25"/>
              <w:jc w:val="center"/>
              <w:rPr>
                <w:rFonts w:ascii="Times New Roman" w:hAnsi="Times New Roman" w:cs="Times New Roman"/>
                <w:sz w:val="18"/>
                <w:szCs w:val="18"/>
                <w:lang w:eastAsia="zh-CN"/>
              </w:rPr>
            </w:pPr>
            <w:r>
              <w:rPr>
                <w:rFonts w:ascii="Times New Roman" w:hAnsi="Times New Roman" w:cs="Times New Roman"/>
                <w:sz w:val="18"/>
                <w:szCs w:val="18"/>
                <w:lang w:eastAsia="zh-CN"/>
              </w:rPr>
              <w:t>19 皮革、毛皮、羽毛及其制品和制鞋业</w:t>
            </w:r>
          </w:p>
        </w:tc>
        <w:tc>
          <w:tcPr>
            <w:tcW w:w="3412" w:type="dxa"/>
            <w:vAlign w:val="center"/>
          </w:tcPr>
          <w:p>
            <w:pPr>
              <w:pStyle w:val="38"/>
              <w:spacing w:before="65"/>
              <w:ind w:right="86"/>
              <w:jc w:val="center"/>
              <w:rPr>
                <w:rFonts w:ascii="Times New Roman" w:hAnsi="Times New Roman" w:cs="Times New Roman"/>
                <w:sz w:val="18"/>
                <w:szCs w:val="18"/>
              </w:rPr>
            </w:pPr>
            <w:r>
              <w:rPr>
                <w:rFonts w:ascii="Times New Roman" w:hAnsi="Times New Roman" w:cs="Times New Roman"/>
                <w:sz w:val="18"/>
                <w:szCs w:val="18"/>
              </w:rPr>
              <w:t>191 皮革鞣制加工</w:t>
            </w:r>
          </w:p>
        </w:tc>
        <w:tc>
          <w:tcPr>
            <w:tcW w:w="7910" w:type="dxa"/>
            <w:vMerge w:val="restart"/>
            <w:vAlign w:val="center"/>
          </w:tcPr>
          <w:p>
            <w:pPr>
              <w:pStyle w:val="38"/>
              <w:ind w:right="351"/>
              <w:jc w:val="center"/>
              <w:rPr>
                <w:rFonts w:ascii="Times New Roman" w:hAnsi="Times New Roman" w:cs="Times New Roman"/>
                <w:sz w:val="18"/>
                <w:szCs w:val="18"/>
              </w:rPr>
            </w:pPr>
            <w:r>
              <w:rPr>
                <w:rFonts w:ascii="Times New Roman" w:hAnsi="Times New Roman" w:cs="Times New Roman"/>
                <w:sz w:val="18"/>
                <w:szCs w:val="18"/>
              </w:rPr>
              <w:t>A1 类、A2 类、D1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7" w:hRule="atLeast"/>
          <w:jc w:val="center"/>
        </w:trPr>
        <w:tc>
          <w:tcPr>
            <w:tcW w:w="2684" w:type="dxa"/>
            <w:vMerge w:val="continue"/>
            <w:vAlign w:val="center"/>
          </w:tcPr>
          <w:p>
            <w:pPr>
              <w:rPr>
                <w:rFonts w:ascii="Times New Roman" w:hAnsi="Times New Roman"/>
                <w:sz w:val="18"/>
                <w:szCs w:val="18"/>
              </w:rPr>
            </w:pPr>
          </w:p>
        </w:tc>
        <w:tc>
          <w:tcPr>
            <w:tcW w:w="3412" w:type="dxa"/>
            <w:vAlign w:val="center"/>
          </w:tcPr>
          <w:p>
            <w:pPr>
              <w:pStyle w:val="38"/>
              <w:spacing w:before="63"/>
              <w:ind w:right="89"/>
              <w:jc w:val="center"/>
              <w:rPr>
                <w:rFonts w:ascii="Times New Roman" w:hAnsi="Times New Roman" w:cs="Times New Roman"/>
                <w:sz w:val="18"/>
                <w:szCs w:val="18"/>
              </w:rPr>
            </w:pPr>
            <w:r>
              <w:rPr>
                <w:rFonts w:ascii="Times New Roman" w:hAnsi="Times New Roman" w:cs="Times New Roman"/>
                <w:sz w:val="18"/>
                <w:szCs w:val="18"/>
              </w:rPr>
              <w:t>193 毛皮鞣制及制品加工</w:t>
            </w:r>
          </w:p>
        </w:tc>
        <w:tc>
          <w:tcPr>
            <w:tcW w:w="7910" w:type="dxa"/>
            <w:vMerge w:val="continue"/>
            <w:vAlign w:val="center"/>
          </w:tcPr>
          <w:p>
            <w:pPr>
              <w:rPr>
                <w:rFonts w:ascii="Times New Roman" w:hAnsi="Times New Roman"/>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9" w:hRule="atLeast"/>
          <w:jc w:val="center"/>
        </w:trPr>
        <w:tc>
          <w:tcPr>
            <w:tcW w:w="2684" w:type="dxa"/>
            <w:vAlign w:val="center"/>
          </w:tcPr>
          <w:p>
            <w:pPr>
              <w:pStyle w:val="38"/>
              <w:spacing w:before="64"/>
              <w:ind w:right="25"/>
              <w:jc w:val="center"/>
              <w:rPr>
                <w:rFonts w:ascii="Times New Roman" w:hAnsi="Times New Roman" w:cs="Times New Roman"/>
                <w:sz w:val="18"/>
                <w:szCs w:val="18"/>
              </w:rPr>
            </w:pPr>
            <w:r>
              <w:rPr>
                <w:rFonts w:ascii="Times New Roman" w:hAnsi="Times New Roman" w:cs="Times New Roman"/>
                <w:sz w:val="18"/>
                <w:szCs w:val="18"/>
              </w:rPr>
              <w:t>22 造纸和纸制品业</w:t>
            </w:r>
          </w:p>
        </w:tc>
        <w:tc>
          <w:tcPr>
            <w:tcW w:w="3412" w:type="dxa"/>
            <w:vAlign w:val="center"/>
          </w:tcPr>
          <w:p>
            <w:pPr>
              <w:pStyle w:val="38"/>
              <w:spacing w:before="64"/>
              <w:ind w:right="86"/>
              <w:jc w:val="center"/>
              <w:rPr>
                <w:rFonts w:ascii="Times New Roman" w:hAnsi="Times New Roman" w:cs="Times New Roman"/>
                <w:sz w:val="18"/>
                <w:szCs w:val="18"/>
              </w:rPr>
            </w:pPr>
            <w:r>
              <w:rPr>
                <w:rFonts w:ascii="Times New Roman" w:hAnsi="Times New Roman" w:cs="Times New Roman"/>
                <w:sz w:val="18"/>
                <w:szCs w:val="18"/>
              </w:rPr>
              <w:t>221 纸浆制造</w:t>
            </w:r>
          </w:p>
        </w:tc>
        <w:tc>
          <w:tcPr>
            <w:tcW w:w="7910" w:type="dxa"/>
            <w:vAlign w:val="center"/>
          </w:tcPr>
          <w:p>
            <w:pPr>
              <w:pStyle w:val="38"/>
              <w:spacing w:before="64"/>
              <w:ind w:right="353"/>
              <w:jc w:val="center"/>
              <w:rPr>
                <w:rFonts w:ascii="Times New Roman" w:hAnsi="Times New Roman" w:cs="Times New Roman"/>
                <w:sz w:val="18"/>
                <w:szCs w:val="18"/>
              </w:rPr>
            </w:pPr>
            <w:r>
              <w:rPr>
                <w:rFonts w:ascii="Times New Roman" w:hAnsi="Times New Roman" w:cs="Times New Roman"/>
                <w:sz w:val="18"/>
                <w:szCs w:val="18"/>
              </w:rPr>
              <w:t>A1 类、B1 类、C5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8" w:hRule="atLeast"/>
          <w:jc w:val="center"/>
        </w:trPr>
        <w:tc>
          <w:tcPr>
            <w:tcW w:w="2684" w:type="dxa"/>
            <w:vMerge w:val="restart"/>
            <w:vAlign w:val="center"/>
          </w:tcPr>
          <w:p>
            <w:pPr>
              <w:pStyle w:val="38"/>
              <w:spacing w:before="70"/>
              <w:ind w:right="25"/>
              <w:jc w:val="center"/>
              <w:rPr>
                <w:rFonts w:ascii="Times New Roman" w:hAnsi="Times New Roman" w:cs="Times New Roman"/>
                <w:sz w:val="18"/>
                <w:szCs w:val="18"/>
                <w:lang w:eastAsia="zh-CN"/>
              </w:rPr>
            </w:pPr>
            <w:r>
              <w:rPr>
                <w:rFonts w:ascii="Times New Roman" w:hAnsi="Times New Roman" w:cs="Times New Roman"/>
                <w:sz w:val="18"/>
                <w:szCs w:val="18"/>
                <w:lang w:eastAsia="zh-CN"/>
              </w:rPr>
              <w:t>25 石油加工、炼焦和核燃料加工业</w:t>
            </w:r>
          </w:p>
        </w:tc>
        <w:tc>
          <w:tcPr>
            <w:tcW w:w="3412" w:type="dxa"/>
            <w:vAlign w:val="center"/>
          </w:tcPr>
          <w:p>
            <w:pPr>
              <w:pStyle w:val="38"/>
              <w:spacing w:before="65"/>
              <w:ind w:right="86"/>
              <w:jc w:val="center"/>
              <w:rPr>
                <w:rFonts w:ascii="Times New Roman" w:hAnsi="Times New Roman" w:cs="Times New Roman"/>
                <w:sz w:val="18"/>
                <w:szCs w:val="18"/>
              </w:rPr>
            </w:pPr>
            <w:r>
              <w:rPr>
                <w:rFonts w:ascii="Times New Roman" w:hAnsi="Times New Roman" w:cs="Times New Roman"/>
                <w:sz w:val="18"/>
                <w:szCs w:val="18"/>
              </w:rPr>
              <w:t>251 精炼石油产品制造</w:t>
            </w:r>
          </w:p>
        </w:tc>
        <w:tc>
          <w:tcPr>
            <w:tcW w:w="7910" w:type="dxa"/>
            <w:vMerge w:val="restart"/>
            <w:vAlign w:val="center"/>
          </w:tcPr>
          <w:p>
            <w:pPr>
              <w:pStyle w:val="38"/>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类、A2 类、A3 类、B2 类、B4 类、C1 类、C3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8" w:hRule="atLeast"/>
          <w:jc w:val="center"/>
        </w:trPr>
        <w:tc>
          <w:tcPr>
            <w:tcW w:w="2684" w:type="dxa"/>
            <w:vMerge w:val="continue"/>
            <w:vAlign w:val="center"/>
          </w:tcPr>
          <w:p>
            <w:pPr>
              <w:rPr>
                <w:rFonts w:ascii="Times New Roman" w:hAnsi="Times New Roman"/>
                <w:sz w:val="18"/>
                <w:szCs w:val="18"/>
              </w:rPr>
            </w:pPr>
          </w:p>
        </w:tc>
        <w:tc>
          <w:tcPr>
            <w:tcW w:w="3412" w:type="dxa"/>
            <w:vAlign w:val="center"/>
          </w:tcPr>
          <w:p>
            <w:pPr>
              <w:pStyle w:val="38"/>
              <w:spacing w:before="63"/>
              <w:ind w:right="86"/>
              <w:jc w:val="center"/>
              <w:rPr>
                <w:rFonts w:ascii="Times New Roman" w:hAnsi="Times New Roman" w:cs="Times New Roman"/>
                <w:sz w:val="18"/>
                <w:szCs w:val="18"/>
              </w:rPr>
            </w:pPr>
            <w:r>
              <w:rPr>
                <w:rFonts w:ascii="Times New Roman" w:hAnsi="Times New Roman" w:cs="Times New Roman"/>
                <w:sz w:val="18"/>
                <w:szCs w:val="18"/>
              </w:rPr>
              <w:t>252 炼焦</w:t>
            </w:r>
          </w:p>
        </w:tc>
        <w:tc>
          <w:tcPr>
            <w:tcW w:w="7910" w:type="dxa"/>
            <w:vMerge w:val="continue"/>
            <w:vAlign w:val="center"/>
          </w:tcPr>
          <w:p>
            <w:pPr>
              <w:rPr>
                <w:rFonts w:ascii="Times New Roman" w:hAnsi="Times New Roman"/>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8" w:hRule="atLeast"/>
          <w:jc w:val="center"/>
        </w:trPr>
        <w:tc>
          <w:tcPr>
            <w:tcW w:w="2684" w:type="dxa"/>
            <w:vMerge w:val="restart"/>
            <w:vAlign w:val="center"/>
          </w:tcPr>
          <w:p>
            <w:pPr>
              <w:pStyle w:val="38"/>
              <w:rPr>
                <w:rFonts w:ascii="Times New Roman" w:hAnsi="Times New Roman" w:cs="Times New Roman"/>
                <w:sz w:val="18"/>
                <w:szCs w:val="18"/>
                <w:lang w:eastAsia="zh-CN"/>
              </w:rPr>
            </w:pPr>
            <w:r>
              <w:rPr>
                <w:rFonts w:ascii="Times New Roman" w:hAnsi="Times New Roman" w:cs="Times New Roman"/>
                <w:sz w:val="18"/>
                <w:szCs w:val="18"/>
                <w:lang w:eastAsia="zh-CN"/>
              </w:rPr>
              <w:t>26 化学原料和化学制品制造业</w:t>
            </w:r>
          </w:p>
        </w:tc>
        <w:tc>
          <w:tcPr>
            <w:tcW w:w="3412" w:type="dxa"/>
            <w:vMerge w:val="restart"/>
            <w:vAlign w:val="center"/>
          </w:tcPr>
          <w:p>
            <w:pPr>
              <w:pStyle w:val="38"/>
              <w:rPr>
                <w:rFonts w:ascii="Times New Roman" w:hAnsi="Times New Roman" w:cs="Times New Roman"/>
                <w:sz w:val="18"/>
                <w:szCs w:val="18"/>
                <w:lang w:eastAsia="zh-CN"/>
              </w:rPr>
            </w:pPr>
            <w:r>
              <w:rPr>
                <w:rFonts w:ascii="Times New Roman" w:hAnsi="Times New Roman" w:cs="Times New Roman"/>
                <w:sz w:val="18"/>
                <w:szCs w:val="18"/>
                <w:lang w:eastAsia="zh-CN"/>
              </w:rPr>
              <w:t>261 基础化学原料制造（无机、有机）</w:t>
            </w:r>
          </w:p>
        </w:tc>
        <w:tc>
          <w:tcPr>
            <w:tcW w:w="7910" w:type="dxa"/>
            <w:vAlign w:val="center"/>
          </w:tcPr>
          <w:p>
            <w:pPr>
              <w:pStyle w:val="38"/>
              <w:spacing w:before="64"/>
              <w:ind w:right="353"/>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类、A2 类、A3 类、C3 类（无机化学原料制造）</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8" w:hRule="atLeast"/>
          <w:jc w:val="center"/>
        </w:trPr>
        <w:tc>
          <w:tcPr>
            <w:tcW w:w="2684" w:type="dxa"/>
            <w:vMerge w:val="continue"/>
            <w:vAlign w:val="center"/>
          </w:tcPr>
          <w:p>
            <w:pPr>
              <w:pStyle w:val="38"/>
              <w:spacing w:before="66"/>
              <w:ind w:right="25"/>
              <w:jc w:val="center"/>
              <w:rPr>
                <w:rFonts w:ascii="Times New Roman" w:hAnsi="Times New Roman" w:cs="Times New Roman"/>
                <w:sz w:val="18"/>
                <w:szCs w:val="18"/>
                <w:lang w:eastAsia="zh-CN"/>
              </w:rPr>
            </w:pPr>
          </w:p>
        </w:tc>
        <w:tc>
          <w:tcPr>
            <w:tcW w:w="3412" w:type="dxa"/>
            <w:vMerge w:val="continue"/>
            <w:vAlign w:val="center"/>
          </w:tcPr>
          <w:p>
            <w:pPr>
              <w:rPr>
                <w:rFonts w:ascii="Times New Roman" w:hAnsi="Times New Roman"/>
                <w:sz w:val="18"/>
                <w:szCs w:val="18"/>
              </w:rPr>
            </w:pPr>
          </w:p>
        </w:tc>
        <w:tc>
          <w:tcPr>
            <w:tcW w:w="7910" w:type="dxa"/>
            <w:vAlign w:val="center"/>
          </w:tcPr>
          <w:p>
            <w:pPr>
              <w:pStyle w:val="38"/>
              <w:spacing w:before="64"/>
              <w:ind w:right="353"/>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类、A2 类、A3 类、B1 类、B2 类、B3 类、B4 类、C1 类、C3 类 （有机化学原料制造）</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continue"/>
            <w:vAlign w:val="center"/>
          </w:tcPr>
          <w:p>
            <w:pPr>
              <w:pStyle w:val="38"/>
              <w:spacing w:before="66"/>
              <w:ind w:right="25"/>
              <w:jc w:val="center"/>
              <w:rPr>
                <w:rFonts w:ascii="Times New Roman" w:hAnsi="Times New Roman" w:cs="Times New Roman"/>
                <w:sz w:val="18"/>
                <w:szCs w:val="18"/>
                <w:lang w:eastAsia="zh-CN"/>
              </w:rPr>
            </w:pPr>
          </w:p>
        </w:tc>
        <w:tc>
          <w:tcPr>
            <w:tcW w:w="3412" w:type="dxa"/>
            <w:vAlign w:val="center"/>
          </w:tcPr>
          <w:p>
            <w:pPr>
              <w:pStyle w:val="38"/>
              <w:spacing w:before="66"/>
              <w:ind w:right="86"/>
              <w:jc w:val="center"/>
              <w:rPr>
                <w:rFonts w:ascii="Times New Roman" w:hAnsi="Times New Roman" w:cs="Times New Roman"/>
                <w:sz w:val="18"/>
                <w:szCs w:val="18"/>
              </w:rPr>
            </w:pPr>
            <w:r>
              <w:rPr>
                <w:rFonts w:ascii="Times New Roman" w:hAnsi="Times New Roman" w:cs="Times New Roman"/>
                <w:sz w:val="18"/>
                <w:szCs w:val="18"/>
              </w:rPr>
              <w:t>263 农药制造</w:t>
            </w:r>
          </w:p>
        </w:tc>
        <w:tc>
          <w:tcPr>
            <w:tcW w:w="7910" w:type="dxa"/>
            <w:vAlign w:val="center"/>
          </w:tcPr>
          <w:p>
            <w:pPr>
              <w:pStyle w:val="38"/>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类、A2 类、A3 类、B1 类、B2 类、B3 类、B4 类、C1 类、C2 类、C3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continue"/>
            <w:vAlign w:val="center"/>
          </w:tcPr>
          <w:p>
            <w:pPr>
              <w:pStyle w:val="38"/>
              <w:spacing w:before="66"/>
              <w:ind w:right="25"/>
              <w:jc w:val="center"/>
              <w:rPr>
                <w:rFonts w:ascii="Times New Roman" w:hAnsi="Times New Roman" w:cs="Times New Roman"/>
                <w:sz w:val="18"/>
                <w:szCs w:val="18"/>
                <w:lang w:eastAsia="zh-CN"/>
              </w:rPr>
            </w:pPr>
          </w:p>
        </w:tc>
        <w:tc>
          <w:tcPr>
            <w:tcW w:w="3412" w:type="dxa"/>
            <w:vAlign w:val="center"/>
          </w:tcPr>
          <w:p>
            <w:pPr>
              <w:pStyle w:val="38"/>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lang w:eastAsia="zh-CN"/>
              </w:rPr>
              <w:t>264 涂料、油墨、颜料及类似产品制造</w:t>
            </w:r>
          </w:p>
        </w:tc>
        <w:tc>
          <w:tcPr>
            <w:tcW w:w="7910" w:type="dxa"/>
            <w:vAlign w:val="center"/>
          </w:tcPr>
          <w:p>
            <w:pPr>
              <w:pStyle w:val="38"/>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类、A2 类、A3 类、B1 类、B2 类、B3 类、B4 类、C1 类、C3 类、C4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continue"/>
            <w:vAlign w:val="center"/>
          </w:tcPr>
          <w:p>
            <w:pPr>
              <w:pStyle w:val="38"/>
              <w:spacing w:before="66"/>
              <w:ind w:right="25"/>
              <w:jc w:val="center"/>
              <w:rPr>
                <w:rFonts w:ascii="Times New Roman" w:hAnsi="Times New Roman" w:cs="Times New Roman"/>
                <w:sz w:val="18"/>
                <w:szCs w:val="18"/>
                <w:lang w:eastAsia="zh-CN"/>
              </w:rPr>
            </w:pPr>
          </w:p>
        </w:tc>
        <w:tc>
          <w:tcPr>
            <w:tcW w:w="3412" w:type="dxa"/>
            <w:vAlign w:val="center"/>
          </w:tcPr>
          <w:p>
            <w:pPr>
              <w:pStyle w:val="38"/>
              <w:spacing w:before="66"/>
              <w:ind w:right="86"/>
              <w:jc w:val="center"/>
              <w:rPr>
                <w:rFonts w:ascii="Times New Roman" w:hAnsi="Times New Roman" w:cs="Times New Roman"/>
                <w:sz w:val="18"/>
                <w:szCs w:val="18"/>
              </w:rPr>
            </w:pPr>
            <w:r>
              <w:rPr>
                <w:rFonts w:ascii="Times New Roman" w:hAnsi="Times New Roman" w:cs="Times New Roman"/>
                <w:sz w:val="18"/>
                <w:szCs w:val="18"/>
              </w:rPr>
              <w:t>265 合成材料制造</w:t>
            </w:r>
          </w:p>
        </w:tc>
        <w:tc>
          <w:tcPr>
            <w:tcW w:w="7910" w:type="dxa"/>
            <w:vAlign w:val="center"/>
          </w:tcPr>
          <w:p>
            <w:pPr>
              <w:pStyle w:val="38"/>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类、A2 类、A3 类、B1 类、B2 类、B3 类、B4 类、C1 类、C3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continue"/>
            <w:vAlign w:val="center"/>
          </w:tcPr>
          <w:p>
            <w:pPr>
              <w:pStyle w:val="38"/>
              <w:spacing w:before="66"/>
              <w:ind w:right="25"/>
              <w:jc w:val="center"/>
              <w:rPr>
                <w:rFonts w:ascii="Times New Roman" w:hAnsi="Times New Roman" w:cs="Times New Roman"/>
                <w:sz w:val="18"/>
                <w:szCs w:val="18"/>
                <w:lang w:eastAsia="zh-CN"/>
              </w:rPr>
            </w:pPr>
          </w:p>
        </w:tc>
        <w:tc>
          <w:tcPr>
            <w:tcW w:w="3412" w:type="dxa"/>
            <w:vAlign w:val="center"/>
          </w:tcPr>
          <w:p>
            <w:pPr>
              <w:pStyle w:val="38"/>
              <w:spacing w:before="66"/>
              <w:ind w:right="86"/>
              <w:jc w:val="center"/>
              <w:rPr>
                <w:rFonts w:ascii="Times New Roman" w:hAnsi="Times New Roman" w:cs="Times New Roman"/>
                <w:sz w:val="18"/>
                <w:szCs w:val="18"/>
              </w:rPr>
            </w:pPr>
            <w:r>
              <w:rPr>
                <w:rFonts w:ascii="Times New Roman" w:hAnsi="Times New Roman" w:cs="Times New Roman"/>
                <w:sz w:val="18"/>
                <w:szCs w:val="18"/>
              </w:rPr>
              <w:t>266 专用化学品制造</w:t>
            </w:r>
          </w:p>
        </w:tc>
        <w:tc>
          <w:tcPr>
            <w:tcW w:w="7910" w:type="dxa"/>
            <w:vAlign w:val="center"/>
          </w:tcPr>
          <w:p>
            <w:pPr>
              <w:pStyle w:val="38"/>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类、A2 类、A3 类、B1 类、B2 类、B3 类、B4 类、C1 类、C3 类、C4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continue"/>
            <w:vAlign w:val="center"/>
          </w:tcPr>
          <w:p>
            <w:pPr>
              <w:pStyle w:val="38"/>
              <w:spacing w:before="66"/>
              <w:ind w:right="25"/>
              <w:jc w:val="center"/>
              <w:rPr>
                <w:rFonts w:ascii="Times New Roman" w:hAnsi="Times New Roman" w:cs="Times New Roman"/>
                <w:sz w:val="18"/>
                <w:szCs w:val="18"/>
                <w:lang w:eastAsia="zh-CN"/>
              </w:rPr>
            </w:pPr>
          </w:p>
        </w:tc>
        <w:tc>
          <w:tcPr>
            <w:tcW w:w="3412" w:type="dxa"/>
            <w:vAlign w:val="center"/>
          </w:tcPr>
          <w:p>
            <w:pPr>
              <w:pStyle w:val="38"/>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lang w:eastAsia="zh-CN"/>
              </w:rPr>
              <w:t>267 炸药、火工及焰火产品制造</w:t>
            </w:r>
          </w:p>
        </w:tc>
        <w:tc>
          <w:tcPr>
            <w:tcW w:w="7910" w:type="dxa"/>
            <w:vAlign w:val="center"/>
          </w:tcPr>
          <w:p>
            <w:pPr>
              <w:pStyle w:val="38"/>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类、A3 类、B1 类、B2 类、B3 类、B4 类、C1 类、C3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Align w:val="center"/>
          </w:tcPr>
          <w:p>
            <w:pPr>
              <w:pStyle w:val="38"/>
              <w:spacing w:before="66"/>
              <w:ind w:right="25"/>
              <w:jc w:val="center"/>
              <w:rPr>
                <w:rFonts w:ascii="Times New Roman" w:hAnsi="Times New Roman" w:cs="Times New Roman"/>
                <w:sz w:val="18"/>
                <w:szCs w:val="18"/>
                <w:lang w:eastAsia="zh-CN"/>
              </w:rPr>
            </w:pPr>
            <w:r>
              <w:rPr>
                <w:rFonts w:ascii="Times New Roman" w:hAnsi="Times New Roman" w:cs="Times New Roman"/>
                <w:sz w:val="18"/>
                <w:szCs w:val="18"/>
              </w:rPr>
              <w:t>27 医药制造业</w:t>
            </w:r>
          </w:p>
        </w:tc>
        <w:tc>
          <w:tcPr>
            <w:tcW w:w="3412" w:type="dxa"/>
            <w:vAlign w:val="center"/>
          </w:tcPr>
          <w:p>
            <w:pPr>
              <w:pStyle w:val="38"/>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rPr>
              <w:t>271 化学药品原料药制造</w:t>
            </w:r>
          </w:p>
        </w:tc>
        <w:tc>
          <w:tcPr>
            <w:tcW w:w="7910" w:type="dxa"/>
            <w:vAlign w:val="center"/>
          </w:tcPr>
          <w:p>
            <w:pPr>
              <w:pStyle w:val="38"/>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类、A3 类、B1 类、B2 类、B3 类、B4 类、C1 类、C3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restart"/>
            <w:vAlign w:val="center"/>
          </w:tcPr>
          <w:p>
            <w:pPr>
              <w:pStyle w:val="38"/>
              <w:spacing w:before="66"/>
              <w:ind w:right="25"/>
              <w:jc w:val="center"/>
              <w:rPr>
                <w:rFonts w:ascii="Times New Roman" w:hAnsi="Times New Roman" w:cs="Times New Roman"/>
                <w:sz w:val="18"/>
                <w:szCs w:val="18"/>
                <w:lang w:eastAsia="zh-CN"/>
              </w:rPr>
            </w:pPr>
            <w:r>
              <w:rPr>
                <w:rFonts w:ascii="Times New Roman" w:hAnsi="Times New Roman" w:cs="Times New Roman"/>
                <w:sz w:val="18"/>
                <w:szCs w:val="18"/>
              </w:rPr>
              <w:t>28 化学纤维制造业</w:t>
            </w:r>
          </w:p>
        </w:tc>
        <w:tc>
          <w:tcPr>
            <w:tcW w:w="3412" w:type="dxa"/>
            <w:vAlign w:val="center"/>
          </w:tcPr>
          <w:p>
            <w:pPr>
              <w:pStyle w:val="38"/>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lang w:eastAsia="zh-CN"/>
              </w:rPr>
              <w:t>281 纤维素纤维原料及纤维制造</w:t>
            </w:r>
          </w:p>
        </w:tc>
        <w:tc>
          <w:tcPr>
            <w:tcW w:w="7910" w:type="dxa"/>
            <w:vAlign w:val="center"/>
          </w:tcPr>
          <w:p>
            <w:pPr>
              <w:pStyle w:val="38"/>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类-重金属 8 种、B1 类-挥发性有机物 16 种、C5 类-二噁英类、D1 类-土壤 pH</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continue"/>
            <w:vAlign w:val="center"/>
          </w:tcPr>
          <w:p>
            <w:pPr>
              <w:pStyle w:val="38"/>
              <w:spacing w:before="66"/>
              <w:ind w:right="25"/>
              <w:jc w:val="center"/>
              <w:rPr>
                <w:rFonts w:ascii="Times New Roman" w:hAnsi="Times New Roman" w:cs="Times New Roman"/>
                <w:sz w:val="18"/>
                <w:szCs w:val="18"/>
                <w:lang w:eastAsia="zh-CN"/>
              </w:rPr>
            </w:pPr>
          </w:p>
        </w:tc>
        <w:tc>
          <w:tcPr>
            <w:tcW w:w="3412" w:type="dxa"/>
            <w:vAlign w:val="center"/>
          </w:tcPr>
          <w:p>
            <w:pPr>
              <w:pStyle w:val="38"/>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rPr>
              <w:t>282 合成纤维制造</w:t>
            </w:r>
          </w:p>
        </w:tc>
        <w:tc>
          <w:tcPr>
            <w:tcW w:w="7910" w:type="dxa"/>
            <w:vAlign w:val="center"/>
          </w:tcPr>
          <w:p>
            <w:pPr>
              <w:pStyle w:val="38"/>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类、A2 类、A3 类、B1 类、C1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restart"/>
            <w:vAlign w:val="center"/>
          </w:tcPr>
          <w:p>
            <w:pPr>
              <w:pStyle w:val="38"/>
              <w:spacing w:before="66"/>
              <w:ind w:right="25"/>
              <w:jc w:val="center"/>
              <w:rPr>
                <w:rFonts w:ascii="Times New Roman" w:hAnsi="Times New Roman" w:cs="Times New Roman"/>
                <w:sz w:val="18"/>
                <w:szCs w:val="18"/>
                <w:lang w:eastAsia="zh-CN"/>
              </w:rPr>
            </w:pPr>
            <w:r>
              <w:rPr>
                <w:rFonts w:ascii="Times New Roman" w:hAnsi="Times New Roman" w:cs="Times New Roman"/>
                <w:sz w:val="18"/>
                <w:szCs w:val="18"/>
                <w:lang w:eastAsia="zh-CN"/>
              </w:rPr>
              <w:t>31 黑色金属冶炼和压延加工业</w:t>
            </w:r>
          </w:p>
        </w:tc>
        <w:tc>
          <w:tcPr>
            <w:tcW w:w="3412" w:type="dxa"/>
            <w:vAlign w:val="center"/>
          </w:tcPr>
          <w:p>
            <w:pPr>
              <w:pStyle w:val="38"/>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rPr>
              <w:t>311 炼铁</w:t>
            </w:r>
          </w:p>
        </w:tc>
        <w:tc>
          <w:tcPr>
            <w:tcW w:w="7910" w:type="dxa"/>
            <w:vMerge w:val="restart"/>
            <w:vAlign w:val="center"/>
          </w:tcPr>
          <w:p>
            <w:pPr>
              <w:pStyle w:val="38"/>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类、A2 类、C1 类、C3 类、C5 类、D1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continue"/>
            <w:vAlign w:val="center"/>
          </w:tcPr>
          <w:p>
            <w:pPr>
              <w:pStyle w:val="38"/>
              <w:spacing w:before="66"/>
              <w:ind w:right="25"/>
              <w:jc w:val="center"/>
              <w:rPr>
                <w:rFonts w:ascii="Times New Roman" w:hAnsi="Times New Roman" w:cs="Times New Roman"/>
                <w:sz w:val="18"/>
                <w:szCs w:val="18"/>
                <w:lang w:eastAsia="zh-CN"/>
              </w:rPr>
            </w:pPr>
          </w:p>
        </w:tc>
        <w:tc>
          <w:tcPr>
            <w:tcW w:w="3412" w:type="dxa"/>
            <w:vAlign w:val="center"/>
          </w:tcPr>
          <w:p>
            <w:pPr>
              <w:pStyle w:val="38"/>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rPr>
              <w:t>312 炼钢</w:t>
            </w:r>
          </w:p>
        </w:tc>
        <w:tc>
          <w:tcPr>
            <w:tcW w:w="7910" w:type="dxa"/>
            <w:vMerge w:val="continue"/>
            <w:vAlign w:val="center"/>
          </w:tcPr>
          <w:p>
            <w:pPr>
              <w:pStyle w:val="38"/>
              <w:spacing w:before="66"/>
              <w:ind w:right="351"/>
              <w:jc w:val="center"/>
              <w:rPr>
                <w:rFonts w:ascii="Times New Roman" w:hAnsi="Times New Roman" w:cs="Times New Roman"/>
                <w:sz w:val="18"/>
                <w:szCs w:val="18"/>
                <w:lang w:eastAsia="zh-CN"/>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continue"/>
            <w:vAlign w:val="center"/>
          </w:tcPr>
          <w:p>
            <w:pPr>
              <w:pStyle w:val="38"/>
              <w:spacing w:before="66"/>
              <w:ind w:right="25"/>
              <w:jc w:val="center"/>
              <w:rPr>
                <w:rFonts w:ascii="Times New Roman" w:hAnsi="Times New Roman" w:cs="Times New Roman"/>
                <w:sz w:val="18"/>
                <w:szCs w:val="18"/>
                <w:lang w:eastAsia="zh-CN"/>
              </w:rPr>
            </w:pPr>
          </w:p>
        </w:tc>
        <w:tc>
          <w:tcPr>
            <w:tcW w:w="3412" w:type="dxa"/>
            <w:vAlign w:val="center"/>
          </w:tcPr>
          <w:p>
            <w:pPr>
              <w:pStyle w:val="38"/>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rPr>
              <w:t>315 铁合金冶炼</w:t>
            </w:r>
          </w:p>
        </w:tc>
        <w:tc>
          <w:tcPr>
            <w:tcW w:w="7910" w:type="dxa"/>
            <w:vMerge w:val="continue"/>
            <w:vAlign w:val="center"/>
          </w:tcPr>
          <w:p>
            <w:pPr>
              <w:pStyle w:val="38"/>
              <w:spacing w:before="66"/>
              <w:ind w:right="351"/>
              <w:jc w:val="center"/>
              <w:rPr>
                <w:rFonts w:ascii="Times New Roman" w:hAnsi="Times New Roman" w:cs="Times New Roman"/>
                <w:sz w:val="18"/>
                <w:szCs w:val="18"/>
                <w:lang w:eastAsia="zh-CN"/>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restart"/>
            <w:vAlign w:val="center"/>
          </w:tcPr>
          <w:p>
            <w:pPr>
              <w:pStyle w:val="38"/>
              <w:spacing w:before="66"/>
              <w:ind w:right="25"/>
              <w:jc w:val="center"/>
              <w:rPr>
                <w:rFonts w:ascii="Times New Roman" w:hAnsi="Times New Roman" w:cs="Times New Roman"/>
                <w:sz w:val="18"/>
                <w:szCs w:val="18"/>
                <w:lang w:eastAsia="zh-CN"/>
              </w:rPr>
            </w:pPr>
            <w:r>
              <w:rPr>
                <w:rFonts w:ascii="Times New Roman" w:hAnsi="Times New Roman" w:cs="Times New Roman"/>
                <w:sz w:val="18"/>
                <w:szCs w:val="18"/>
                <w:lang w:eastAsia="zh-CN"/>
              </w:rPr>
              <w:t>32 有色金属冶炼和压延加工业</w:t>
            </w:r>
          </w:p>
        </w:tc>
        <w:tc>
          <w:tcPr>
            <w:tcW w:w="3412" w:type="dxa"/>
            <w:vAlign w:val="center"/>
          </w:tcPr>
          <w:p>
            <w:pPr>
              <w:pStyle w:val="38"/>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rPr>
              <w:t>321 常用有色金属冶炼</w:t>
            </w:r>
          </w:p>
        </w:tc>
        <w:tc>
          <w:tcPr>
            <w:tcW w:w="7910" w:type="dxa"/>
            <w:vMerge w:val="restart"/>
            <w:vAlign w:val="center"/>
          </w:tcPr>
          <w:p>
            <w:pPr>
              <w:pStyle w:val="38"/>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类、A2 类、A3 类、C1 类、C3 类、C5 类、D1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continue"/>
            <w:vAlign w:val="center"/>
          </w:tcPr>
          <w:p>
            <w:pPr>
              <w:pStyle w:val="38"/>
              <w:spacing w:before="66"/>
              <w:ind w:right="25"/>
              <w:jc w:val="center"/>
              <w:rPr>
                <w:rFonts w:ascii="Times New Roman" w:hAnsi="Times New Roman" w:cs="Times New Roman"/>
                <w:sz w:val="18"/>
                <w:szCs w:val="18"/>
                <w:lang w:eastAsia="zh-CN"/>
              </w:rPr>
            </w:pPr>
          </w:p>
        </w:tc>
        <w:tc>
          <w:tcPr>
            <w:tcW w:w="3412" w:type="dxa"/>
            <w:vAlign w:val="center"/>
          </w:tcPr>
          <w:p>
            <w:pPr>
              <w:pStyle w:val="38"/>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rPr>
              <w:t>322 贵金属冶炼</w:t>
            </w:r>
          </w:p>
        </w:tc>
        <w:tc>
          <w:tcPr>
            <w:tcW w:w="7910" w:type="dxa"/>
            <w:vMerge w:val="continue"/>
            <w:vAlign w:val="center"/>
          </w:tcPr>
          <w:p>
            <w:pPr>
              <w:pStyle w:val="38"/>
              <w:spacing w:before="66"/>
              <w:ind w:right="351"/>
              <w:jc w:val="center"/>
              <w:rPr>
                <w:rFonts w:ascii="Times New Roman" w:hAnsi="Times New Roman" w:cs="Times New Roman"/>
                <w:sz w:val="18"/>
                <w:szCs w:val="18"/>
                <w:lang w:eastAsia="zh-CN"/>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Merge w:val="continue"/>
            <w:vAlign w:val="center"/>
          </w:tcPr>
          <w:p>
            <w:pPr>
              <w:pStyle w:val="38"/>
              <w:spacing w:before="66"/>
              <w:ind w:right="25"/>
              <w:jc w:val="center"/>
              <w:rPr>
                <w:rFonts w:ascii="Times New Roman" w:hAnsi="Times New Roman" w:cs="Times New Roman"/>
                <w:sz w:val="18"/>
                <w:szCs w:val="18"/>
                <w:lang w:eastAsia="zh-CN"/>
              </w:rPr>
            </w:pPr>
          </w:p>
        </w:tc>
        <w:tc>
          <w:tcPr>
            <w:tcW w:w="3412" w:type="dxa"/>
            <w:vAlign w:val="center"/>
          </w:tcPr>
          <w:p>
            <w:pPr>
              <w:pStyle w:val="38"/>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rPr>
              <w:t>323 稀有稀土金属冶炼</w:t>
            </w:r>
          </w:p>
        </w:tc>
        <w:tc>
          <w:tcPr>
            <w:tcW w:w="7910" w:type="dxa"/>
            <w:vMerge w:val="continue"/>
            <w:vAlign w:val="center"/>
          </w:tcPr>
          <w:p>
            <w:pPr>
              <w:pStyle w:val="38"/>
              <w:spacing w:before="66"/>
              <w:ind w:right="351"/>
              <w:jc w:val="center"/>
              <w:rPr>
                <w:rFonts w:ascii="Times New Roman" w:hAnsi="Times New Roman" w:cs="Times New Roman"/>
                <w:sz w:val="18"/>
                <w:szCs w:val="18"/>
                <w:lang w:eastAsia="zh-CN"/>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Align w:val="center"/>
          </w:tcPr>
          <w:p>
            <w:pPr>
              <w:pStyle w:val="38"/>
              <w:spacing w:before="66"/>
              <w:ind w:right="25"/>
              <w:jc w:val="center"/>
              <w:rPr>
                <w:rFonts w:ascii="Times New Roman" w:hAnsi="Times New Roman" w:cs="Times New Roman"/>
                <w:sz w:val="18"/>
                <w:szCs w:val="18"/>
                <w:lang w:eastAsia="zh-CN"/>
              </w:rPr>
            </w:pPr>
            <w:r>
              <w:rPr>
                <w:rFonts w:ascii="Times New Roman" w:hAnsi="Times New Roman" w:cs="Times New Roman"/>
                <w:sz w:val="18"/>
                <w:szCs w:val="18"/>
              </w:rPr>
              <w:t>33 金属制品业</w:t>
            </w:r>
          </w:p>
        </w:tc>
        <w:tc>
          <w:tcPr>
            <w:tcW w:w="3412" w:type="dxa"/>
            <w:vAlign w:val="center"/>
          </w:tcPr>
          <w:p>
            <w:pPr>
              <w:pStyle w:val="38"/>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lang w:eastAsia="zh-CN"/>
              </w:rPr>
              <w:t>336 金属表面处理及热处理加工</w:t>
            </w:r>
          </w:p>
        </w:tc>
        <w:tc>
          <w:tcPr>
            <w:tcW w:w="7910" w:type="dxa"/>
            <w:vAlign w:val="center"/>
          </w:tcPr>
          <w:p>
            <w:pPr>
              <w:pStyle w:val="38"/>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rPr>
              <w:t>A1 类、A2 类、D1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Align w:val="center"/>
          </w:tcPr>
          <w:p>
            <w:pPr>
              <w:pStyle w:val="38"/>
              <w:spacing w:before="66"/>
              <w:ind w:right="25"/>
              <w:jc w:val="center"/>
              <w:rPr>
                <w:rFonts w:ascii="Times New Roman" w:hAnsi="Times New Roman" w:cs="Times New Roman"/>
                <w:sz w:val="18"/>
                <w:szCs w:val="18"/>
                <w:lang w:eastAsia="zh-CN"/>
              </w:rPr>
            </w:pPr>
            <w:r>
              <w:rPr>
                <w:rFonts w:ascii="Times New Roman" w:hAnsi="Times New Roman" w:cs="Times New Roman"/>
                <w:sz w:val="18"/>
                <w:szCs w:val="18"/>
                <w:lang w:eastAsia="zh-CN"/>
              </w:rPr>
              <w:t>38 电气机械和器材制造业</w:t>
            </w:r>
          </w:p>
        </w:tc>
        <w:tc>
          <w:tcPr>
            <w:tcW w:w="3412" w:type="dxa"/>
            <w:vAlign w:val="center"/>
          </w:tcPr>
          <w:p>
            <w:pPr>
              <w:pStyle w:val="38"/>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rPr>
              <w:t>384 电池制造</w:t>
            </w:r>
          </w:p>
        </w:tc>
        <w:tc>
          <w:tcPr>
            <w:tcW w:w="7910" w:type="dxa"/>
            <w:vAlign w:val="center"/>
          </w:tcPr>
          <w:p>
            <w:pPr>
              <w:pStyle w:val="38"/>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rPr>
              <w:t>A1 类、A2 类、A3 类、D1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Align w:val="center"/>
          </w:tcPr>
          <w:p>
            <w:pPr>
              <w:pStyle w:val="38"/>
              <w:spacing w:before="66"/>
              <w:ind w:right="25"/>
              <w:jc w:val="center"/>
              <w:rPr>
                <w:rFonts w:ascii="Times New Roman" w:hAnsi="Times New Roman" w:cs="Times New Roman"/>
                <w:sz w:val="18"/>
                <w:szCs w:val="18"/>
                <w:lang w:eastAsia="zh-CN"/>
              </w:rPr>
            </w:pPr>
            <w:r>
              <w:rPr>
                <w:rFonts w:ascii="Times New Roman" w:hAnsi="Times New Roman" w:cs="Times New Roman"/>
                <w:sz w:val="18"/>
                <w:szCs w:val="18"/>
              </w:rPr>
              <w:t>59 仓储业</w:t>
            </w:r>
          </w:p>
        </w:tc>
        <w:tc>
          <w:tcPr>
            <w:tcW w:w="3412" w:type="dxa"/>
            <w:vAlign w:val="center"/>
          </w:tcPr>
          <w:p>
            <w:pPr>
              <w:pStyle w:val="38"/>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rPr>
              <w:t>599 其他仓储业</w:t>
            </w:r>
          </w:p>
        </w:tc>
        <w:tc>
          <w:tcPr>
            <w:tcW w:w="7910" w:type="dxa"/>
            <w:vAlign w:val="center"/>
          </w:tcPr>
          <w:p>
            <w:pPr>
              <w:pStyle w:val="38"/>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lang w:eastAsia="zh-CN"/>
              </w:rPr>
              <w:t>A1 类、B2 类、B3 类、B4 类、C3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Align w:val="center"/>
          </w:tcPr>
          <w:p>
            <w:pPr>
              <w:pStyle w:val="38"/>
              <w:spacing w:before="66"/>
              <w:ind w:right="25"/>
              <w:jc w:val="center"/>
              <w:rPr>
                <w:rFonts w:ascii="Times New Roman" w:hAnsi="Times New Roman" w:cs="Times New Roman"/>
                <w:sz w:val="18"/>
                <w:szCs w:val="18"/>
                <w:lang w:eastAsia="zh-CN"/>
              </w:rPr>
            </w:pPr>
            <w:r>
              <w:rPr>
                <w:rFonts w:ascii="Times New Roman" w:hAnsi="Times New Roman" w:cs="Times New Roman"/>
                <w:sz w:val="18"/>
                <w:szCs w:val="18"/>
                <w:lang w:eastAsia="zh-CN"/>
              </w:rPr>
              <w:t>77 生态保护和环境治理业</w:t>
            </w:r>
          </w:p>
        </w:tc>
        <w:tc>
          <w:tcPr>
            <w:tcW w:w="3412" w:type="dxa"/>
            <w:vAlign w:val="center"/>
          </w:tcPr>
          <w:p>
            <w:pPr>
              <w:pStyle w:val="38"/>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lang w:eastAsia="zh-CN"/>
              </w:rPr>
              <w:t>772 环境治理业（危废、医废处置）</w:t>
            </w:r>
          </w:p>
        </w:tc>
        <w:tc>
          <w:tcPr>
            <w:tcW w:w="7910" w:type="dxa"/>
            <w:vMerge w:val="restart"/>
            <w:vAlign w:val="center"/>
          </w:tcPr>
          <w:p>
            <w:pPr>
              <w:pStyle w:val="38"/>
              <w:spacing w:before="66"/>
              <w:ind w:right="351"/>
              <w:jc w:val="center"/>
              <w:rPr>
                <w:rFonts w:ascii="Times New Roman" w:hAnsi="Times New Roman" w:cs="Times New Roman"/>
                <w:sz w:val="18"/>
                <w:szCs w:val="18"/>
                <w:lang w:eastAsia="zh-CN"/>
              </w:rPr>
            </w:pPr>
            <w:r>
              <w:rPr>
                <w:rFonts w:ascii="Times New Roman" w:hAnsi="Times New Roman" w:cs="Times New Roman"/>
                <w:sz w:val="18"/>
                <w:szCs w:val="18"/>
              </w:rPr>
              <w:t>A1 类、A2 类、C5 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56" w:hRule="atLeast"/>
          <w:jc w:val="center"/>
        </w:trPr>
        <w:tc>
          <w:tcPr>
            <w:tcW w:w="2684" w:type="dxa"/>
            <w:vAlign w:val="center"/>
          </w:tcPr>
          <w:p>
            <w:pPr>
              <w:pStyle w:val="38"/>
              <w:spacing w:before="66"/>
              <w:ind w:right="25"/>
              <w:jc w:val="center"/>
              <w:rPr>
                <w:rFonts w:ascii="Times New Roman" w:hAnsi="Times New Roman" w:cs="Times New Roman"/>
                <w:sz w:val="18"/>
                <w:szCs w:val="18"/>
                <w:lang w:eastAsia="zh-CN"/>
              </w:rPr>
            </w:pPr>
            <w:r>
              <w:rPr>
                <w:rFonts w:ascii="Times New Roman" w:hAnsi="Times New Roman" w:cs="Times New Roman"/>
                <w:sz w:val="18"/>
                <w:szCs w:val="18"/>
              </w:rPr>
              <w:t>78 公共设施管理业</w:t>
            </w:r>
          </w:p>
        </w:tc>
        <w:tc>
          <w:tcPr>
            <w:tcW w:w="3412" w:type="dxa"/>
            <w:vAlign w:val="center"/>
          </w:tcPr>
          <w:p>
            <w:pPr>
              <w:pStyle w:val="38"/>
              <w:spacing w:before="66"/>
              <w:ind w:right="86"/>
              <w:jc w:val="center"/>
              <w:rPr>
                <w:rFonts w:ascii="Times New Roman" w:hAnsi="Times New Roman" w:cs="Times New Roman"/>
                <w:sz w:val="18"/>
                <w:szCs w:val="18"/>
                <w:lang w:eastAsia="zh-CN"/>
              </w:rPr>
            </w:pPr>
            <w:r>
              <w:rPr>
                <w:rFonts w:ascii="Times New Roman" w:hAnsi="Times New Roman" w:cs="Times New Roman"/>
                <w:sz w:val="18"/>
                <w:szCs w:val="18"/>
                <w:lang w:eastAsia="zh-CN"/>
              </w:rPr>
              <w:t>782 环境卫生管理（生活垃圾处置）</w:t>
            </w:r>
          </w:p>
        </w:tc>
        <w:tc>
          <w:tcPr>
            <w:tcW w:w="7910" w:type="dxa"/>
            <w:vMerge w:val="continue"/>
            <w:vAlign w:val="center"/>
          </w:tcPr>
          <w:p>
            <w:pPr>
              <w:pStyle w:val="38"/>
              <w:spacing w:before="66"/>
              <w:ind w:right="351"/>
              <w:jc w:val="center"/>
              <w:rPr>
                <w:rFonts w:ascii="Times New Roman" w:hAnsi="Times New Roman" w:cs="Times New Roman"/>
                <w:sz w:val="18"/>
                <w:szCs w:val="18"/>
                <w:lang w:eastAsia="zh-CN"/>
              </w:rPr>
            </w:pPr>
          </w:p>
        </w:tc>
      </w:tr>
    </w:tbl>
    <w:p>
      <w:pPr>
        <w:widowControl/>
        <w:spacing w:line="500" w:lineRule="exact"/>
        <w:rPr>
          <w:rFonts w:ascii="Times New Roman" w:hAnsi="Times New Roman"/>
          <w:snapToGrid w:val="0"/>
          <w:kern w:val="0"/>
          <w:sz w:val="24"/>
          <w:szCs w:val="24"/>
        </w:rPr>
        <w:sectPr>
          <w:pgSz w:w="16838" w:h="11906" w:orient="landscape"/>
          <w:pgMar w:top="1800" w:right="1440" w:bottom="1800" w:left="1440" w:header="851" w:footer="992" w:gutter="0"/>
          <w:cols w:space="425" w:num="1"/>
          <w:docGrid w:type="lines" w:linePitch="312" w:charSpace="0"/>
        </w:sectPr>
      </w:pPr>
    </w:p>
    <w:p>
      <w:pPr>
        <w:keepNext/>
        <w:keepLines/>
        <w:widowControl/>
        <w:spacing w:before="156" w:beforeLines="50" w:after="156" w:afterLines="50" w:line="500" w:lineRule="exact"/>
        <w:contextualSpacing/>
        <w:outlineLvl w:val="1"/>
        <w:rPr>
          <w:rFonts w:ascii="Times New Roman" w:hAnsi="Times New Roman"/>
          <w:snapToGrid w:val="0"/>
          <w:kern w:val="0"/>
          <w:sz w:val="24"/>
          <w:szCs w:val="24"/>
        </w:rPr>
      </w:pPr>
      <w:bookmarkStart w:id="162" w:name="_Toc531519950"/>
      <w:bookmarkStart w:id="163" w:name="_Toc534203203"/>
      <w:bookmarkStart w:id="164" w:name="_Toc13847402"/>
      <w:bookmarkStart w:id="165" w:name="_Toc575"/>
      <w:r>
        <w:rPr>
          <w:rFonts w:hint="eastAsia" w:ascii="Times New Roman" w:hAnsi="Times New Roman"/>
          <w:b/>
          <w:bCs/>
          <w:sz w:val="28"/>
          <w:szCs w:val="32"/>
        </w:rPr>
        <w:t>7.2筛选结果</w:t>
      </w:r>
      <w:bookmarkEnd w:id="162"/>
      <w:bookmarkEnd w:id="163"/>
      <w:bookmarkEnd w:id="164"/>
      <w:bookmarkEnd w:id="165"/>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考虑到生态环境部针对建设用地土壤污染制定的风险管控标准中有45项基本测试项目（《土壤环境质量建设用地土壤污染风险管控标准》（试行）（GB36600-2018）中表1的基本项目，以下简称“45项基本项”），并且针对这“45项基本项”做出要求如下“表1 中所列项目为初步调查阶段建设用地土壤污染风险筛选的必测项目。”因此</w:t>
      </w:r>
      <w:r>
        <w:rPr>
          <w:rFonts w:hint="eastAsia" w:ascii="Times New Roman" w:hAnsi="Times New Roman"/>
          <w:snapToGrid w:val="0"/>
          <w:kern w:val="0"/>
          <w:sz w:val="24"/>
          <w:szCs w:val="24"/>
          <w:lang w:val="en-US" w:eastAsia="zh-CN"/>
        </w:rPr>
        <w:t>企业</w:t>
      </w:r>
      <w:r>
        <w:rPr>
          <w:rFonts w:hint="eastAsia" w:ascii="Times New Roman" w:hAnsi="Times New Roman"/>
          <w:snapToGrid w:val="0"/>
          <w:kern w:val="0"/>
          <w:sz w:val="24"/>
          <w:szCs w:val="24"/>
        </w:rPr>
        <w:t>自行监测过程中，土壤监测优先选取“45项基本项”中的因子，之后根据厂区内</w:t>
      </w:r>
      <w:r>
        <w:rPr>
          <w:rFonts w:hint="eastAsia" w:ascii="Times New Roman" w:hAnsi="Times New Roman"/>
          <w:snapToGrid w:val="0"/>
          <w:kern w:val="0"/>
          <w:sz w:val="24"/>
          <w:szCs w:val="24"/>
          <w:lang w:val="en-US" w:eastAsia="zh-CN"/>
        </w:rPr>
        <w:t>重点区域</w:t>
      </w:r>
      <w:r>
        <w:rPr>
          <w:rFonts w:hint="eastAsia" w:ascii="Times New Roman" w:hAnsi="Times New Roman"/>
          <w:snapToGrid w:val="0"/>
          <w:kern w:val="0"/>
          <w:sz w:val="24"/>
          <w:szCs w:val="24"/>
        </w:rPr>
        <w:t>的特征污染物增加相应监测因子。</w:t>
      </w:r>
    </w:p>
    <w:p>
      <w:pPr>
        <w:widowControl/>
        <w:spacing w:line="500" w:lineRule="exact"/>
        <w:rPr>
          <w:rFonts w:hint="eastAsia" w:ascii="Times New Roman" w:hAnsi="Times New Roman" w:eastAsia="宋体" w:cs="Times New Roman"/>
          <w:snapToGrid w:val="0"/>
          <w:kern w:val="0"/>
          <w:sz w:val="24"/>
          <w:szCs w:val="24"/>
        </w:rPr>
      </w:pPr>
      <w:r>
        <w:rPr>
          <w:rFonts w:ascii="Times New Roman" w:hAnsi="Times New Roman"/>
          <w:snapToGrid w:val="0"/>
          <w:kern w:val="0"/>
          <w:sz w:val="24"/>
          <w:szCs w:val="24"/>
        </w:rPr>
        <w:tab/>
      </w:r>
      <w:r>
        <w:rPr>
          <w:rFonts w:hint="eastAsia" w:ascii="Times New Roman" w:hAnsi="Times New Roman"/>
          <w:snapToGrid w:val="0"/>
          <w:kern w:val="0"/>
          <w:sz w:val="24"/>
          <w:szCs w:val="24"/>
        </w:rPr>
        <w:t>根据前期资料收集和现场踏勘的结果，</w:t>
      </w:r>
      <w:r>
        <w:rPr>
          <w:rFonts w:hint="eastAsia" w:ascii="Times New Roman" w:hAnsi="Times New Roman"/>
          <w:snapToGrid w:val="0"/>
          <w:kern w:val="0"/>
          <w:sz w:val="24"/>
          <w:szCs w:val="24"/>
          <w:lang w:val="en-US" w:eastAsia="zh-CN"/>
        </w:rPr>
        <w:t>企业</w:t>
      </w:r>
      <w:r>
        <w:rPr>
          <w:rFonts w:hint="eastAsia" w:ascii="Times New Roman" w:hAnsi="Times New Roman"/>
          <w:snapToGrid w:val="0"/>
          <w:kern w:val="0"/>
          <w:sz w:val="24"/>
          <w:szCs w:val="24"/>
        </w:rPr>
        <w:t>属于“</w:t>
      </w:r>
      <w:r>
        <w:rPr>
          <w:rFonts w:hint="default" w:ascii="Times New Roman" w:hAnsi="Times New Roman"/>
          <w:snapToGrid w:val="0"/>
          <w:kern w:val="0"/>
          <w:sz w:val="24"/>
          <w:szCs w:val="24"/>
          <w:lang w:eastAsia="zh-CN"/>
        </w:rPr>
        <w:t>C266 专用化学产品制造</w:t>
      </w:r>
      <w:r>
        <w:rPr>
          <w:rFonts w:hint="eastAsia" w:ascii="Times New Roman" w:hAnsi="Times New Roman"/>
          <w:snapToGrid w:val="0"/>
          <w:kern w:val="0"/>
          <w:sz w:val="24"/>
          <w:szCs w:val="24"/>
        </w:rPr>
        <w:t>”</w:t>
      </w:r>
      <w:r>
        <w:rPr>
          <w:rFonts w:hint="eastAsia" w:ascii="Times New Roman" w:hAnsi="Times New Roman"/>
          <w:snapToGrid w:val="0"/>
          <w:kern w:val="0"/>
          <w:sz w:val="24"/>
          <w:szCs w:val="24"/>
          <w:lang w:eastAsia="zh-CN"/>
        </w:rPr>
        <w:t>。</w:t>
      </w:r>
      <w:r>
        <w:rPr>
          <w:rFonts w:hint="eastAsia" w:ascii="Times New Roman" w:hAnsi="Times New Roman"/>
          <w:snapToGrid w:val="0"/>
          <w:kern w:val="0"/>
          <w:sz w:val="24"/>
          <w:szCs w:val="24"/>
        </w:rPr>
        <w:t>因此，</w:t>
      </w:r>
      <w:r>
        <w:rPr>
          <w:rFonts w:hint="eastAsia" w:ascii="Times New Roman" w:hAnsi="Times New Roman"/>
          <w:snapToGrid w:val="0"/>
          <w:kern w:val="0"/>
          <w:sz w:val="24"/>
          <w:szCs w:val="24"/>
          <w:lang w:val="en-US" w:eastAsia="zh-CN"/>
        </w:rPr>
        <w:t>企业</w:t>
      </w:r>
      <w:r>
        <w:rPr>
          <w:rFonts w:hint="eastAsia" w:ascii="Times New Roman" w:hAnsi="Times New Roman"/>
          <w:snapToGrid w:val="0"/>
          <w:kern w:val="0"/>
          <w:sz w:val="24"/>
          <w:szCs w:val="24"/>
        </w:rPr>
        <w:t>土壤</w:t>
      </w:r>
      <w:r>
        <w:rPr>
          <w:rFonts w:hint="eastAsia" w:ascii="Times New Roman" w:hAnsi="Times New Roman"/>
          <w:snapToGrid w:val="0"/>
          <w:kern w:val="0"/>
          <w:sz w:val="24"/>
          <w:szCs w:val="24"/>
          <w:lang w:val="en-US" w:eastAsia="zh-CN"/>
        </w:rPr>
        <w:t>及</w:t>
      </w:r>
      <w:r>
        <w:rPr>
          <w:rFonts w:hint="eastAsia" w:ascii="Times New Roman" w:hAnsi="Times New Roman"/>
          <w:snapToGrid w:val="0"/>
          <w:kern w:val="0"/>
          <w:sz w:val="24"/>
          <w:szCs w:val="24"/>
        </w:rPr>
        <w:t>地下水行业特征监测因子可参考上表7.1-2中行业特征污染物测定。</w:t>
      </w:r>
      <w:r>
        <w:rPr>
          <w:rFonts w:hint="eastAsia" w:ascii="Times New Roman" w:hAnsi="Times New Roman"/>
          <w:snapToGrid w:val="0"/>
          <w:kern w:val="0"/>
          <w:sz w:val="24"/>
          <w:szCs w:val="24"/>
          <w:lang w:val="en-US" w:eastAsia="zh-CN"/>
        </w:rPr>
        <w:t>最终确定土壤监测因子为pH值、VOCs、SVOCs、石油烃C</w:t>
      </w:r>
      <w:r>
        <w:rPr>
          <w:rFonts w:hint="eastAsia" w:ascii="Times New Roman" w:hAnsi="Times New Roman"/>
          <w:snapToGrid w:val="0"/>
          <w:kern w:val="0"/>
          <w:sz w:val="24"/>
          <w:szCs w:val="24"/>
          <w:vertAlign w:val="subscript"/>
          <w:lang w:val="en-US" w:eastAsia="zh-CN"/>
        </w:rPr>
        <w:t>10</w:t>
      </w:r>
      <w:r>
        <w:rPr>
          <w:rFonts w:hint="eastAsia" w:ascii="Times New Roman" w:hAnsi="Times New Roman"/>
          <w:snapToGrid w:val="0"/>
          <w:kern w:val="0"/>
          <w:sz w:val="24"/>
          <w:szCs w:val="24"/>
          <w:lang w:val="en-US" w:eastAsia="zh-CN"/>
        </w:rPr>
        <w:t>～C</w:t>
      </w:r>
      <w:r>
        <w:rPr>
          <w:rFonts w:hint="eastAsia" w:ascii="Times New Roman" w:hAnsi="Times New Roman"/>
          <w:snapToGrid w:val="0"/>
          <w:kern w:val="0"/>
          <w:sz w:val="24"/>
          <w:szCs w:val="24"/>
          <w:vertAlign w:val="subscript"/>
          <w:lang w:val="en-US" w:eastAsia="zh-CN"/>
        </w:rPr>
        <w:t>40</w:t>
      </w:r>
      <w:r>
        <w:rPr>
          <w:rFonts w:hint="eastAsia" w:ascii="Times New Roman" w:hAnsi="Times New Roman"/>
          <w:snapToGrid w:val="0"/>
          <w:kern w:val="0"/>
          <w:sz w:val="24"/>
          <w:szCs w:val="24"/>
          <w:vertAlign w:val="baseline"/>
          <w:lang w:val="en-US" w:eastAsia="zh-CN"/>
        </w:rPr>
        <w:t>，</w:t>
      </w:r>
      <w:r>
        <w:rPr>
          <w:rFonts w:hint="eastAsia" w:ascii="Times New Roman" w:hAnsi="Times New Roman" w:eastAsia="宋体" w:cs="Times New Roman"/>
          <w:snapToGrid w:val="0"/>
          <w:kern w:val="0"/>
          <w:sz w:val="24"/>
          <w:szCs w:val="24"/>
        </w:rPr>
        <w:t>厂区外土壤与地下水对照点的监测因子与厂区内保持一致。</w:t>
      </w:r>
    </w:p>
    <w:p>
      <w:pPr>
        <w:widowControl/>
        <w:spacing w:line="500" w:lineRule="exact"/>
        <w:ind w:firstLine="420"/>
        <w:rPr>
          <w:rFonts w:hint="eastAsia" w:ascii="Times New Roman" w:hAnsi="Times New Roman" w:eastAsia="宋体" w:cs="Times New Roman"/>
          <w:snapToGrid w:val="0"/>
          <w:kern w:val="0"/>
          <w:sz w:val="24"/>
          <w:szCs w:val="24"/>
          <w:lang w:val="en-US" w:eastAsia="zh-CN"/>
        </w:rPr>
      </w:pPr>
      <w:r>
        <w:rPr>
          <w:rFonts w:hint="eastAsia" w:ascii="Times New Roman" w:hAnsi="Times New Roman" w:eastAsia="宋体" w:cs="Times New Roman"/>
          <w:snapToGrid w:val="0"/>
          <w:kern w:val="0"/>
          <w:sz w:val="24"/>
          <w:szCs w:val="24"/>
        </w:rPr>
        <w:t>对于地下水监测，pH值、耗氧量（CODMn）、氨氮、硝酸盐、硫酸盐、氯化物、硫化物在内的七项水质因子，一般作为“基本水质因子”被广泛关注，因此在地下水监测中，“基本水质因子”应作为必测项目。</w:t>
      </w:r>
      <w:r>
        <w:rPr>
          <w:rFonts w:hint="eastAsia" w:ascii="Times New Roman" w:hAnsi="Times New Roman" w:eastAsia="宋体" w:cs="Times New Roman"/>
          <w:snapToGrid w:val="0"/>
          <w:kern w:val="0"/>
          <w:sz w:val="24"/>
          <w:szCs w:val="24"/>
          <w:lang w:val="en-US" w:eastAsia="zh-CN"/>
        </w:rPr>
        <w:t>并选取</w:t>
      </w:r>
      <w:r>
        <w:rPr>
          <w:rFonts w:hint="eastAsia" w:ascii="Times New Roman" w:hAnsi="Times New Roman" w:eastAsia="宋体" w:cs="Times New Roman"/>
          <w:snapToGrid w:val="0"/>
          <w:kern w:val="0"/>
          <w:sz w:val="24"/>
          <w:szCs w:val="24"/>
          <w:lang w:eastAsia="zh-CN"/>
        </w:rPr>
        <w:t>表7.1-2中</w:t>
      </w:r>
      <w:r>
        <w:rPr>
          <w:rFonts w:hint="eastAsia" w:ascii="Times New Roman" w:hAnsi="Times New Roman" w:eastAsia="宋体" w:cs="Times New Roman"/>
          <w:snapToGrid w:val="0"/>
          <w:kern w:val="0"/>
          <w:sz w:val="24"/>
          <w:szCs w:val="24"/>
        </w:rPr>
        <w:t>A1 类-重金属 8 种</w:t>
      </w:r>
      <w:r>
        <w:rPr>
          <w:rFonts w:hint="eastAsia" w:ascii="Times New Roman" w:hAnsi="Times New Roman" w:eastAsia="宋体" w:cs="Times New Roman"/>
          <w:snapToGrid w:val="0"/>
          <w:kern w:val="0"/>
          <w:sz w:val="24"/>
          <w:szCs w:val="24"/>
          <w:lang w:eastAsia="zh-CN"/>
        </w:rPr>
        <w:t>、</w:t>
      </w:r>
      <w:r>
        <w:rPr>
          <w:rFonts w:hint="eastAsia" w:ascii="Times New Roman" w:hAnsi="Times New Roman" w:eastAsia="宋体" w:cs="Times New Roman"/>
          <w:snapToGrid w:val="0"/>
          <w:kern w:val="0"/>
          <w:sz w:val="24"/>
          <w:szCs w:val="24"/>
        </w:rPr>
        <w:t>C3 类-石油烃</w:t>
      </w:r>
      <w:r>
        <w:rPr>
          <w:rFonts w:hint="eastAsia" w:ascii="Times New Roman" w:hAnsi="Times New Roman" w:cs="Times New Roman"/>
          <w:snapToGrid w:val="0"/>
          <w:kern w:val="0"/>
          <w:sz w:val="24"/>
          <w:szCs w:val="24"/>
          <w:lang w:val="en-US" w:eastAsia="zh-CN"/>
        </w:rPr>
        <w:t>以及VOCs、SVOCs</w:t>
      </w:r>
      <w:r>
        <w:rPr>
          <w:rFonts w:hint="eastAsia" w:ascii="Times New Roman" w:hAnsi="Times New Roman" w:eastAsia="宋体" w:cs="Times New Roman"/>
          <w:snapToGrid w:val="0"/>
          <w:kern w:val="0"/>
          <w:sz w:val="24"/>
          <w:szCs w:val="24"/>
          <w:lang w:eastAsia="zh-CN"/>
        </w:rPr>
        <w:t>作为特征因子</w:t>
      </w:r>
      <w:r>
        <w:rPr>
          <w:rFonts w:hint="eastAsia" w:ascii="Times New Roman" w:hAnsi="Times New Roman" w:eastAsia="宋体" w:cs="Times New Roman"/>
          <w:snapToGrid w:val="0"/>
          <w:kern w:val="0"/>
          <w:sz w:val="24"/>
          <w:szCs w:val="24"/>
          <w:lang w:val="en-US" w:eastAsia="zh-CN"/>
        </w:rPr>
        <w:t>。</w:t>
      </w:r>
    </w:p>
    <w:p>
      <w:pPr>
        <w:widowControl/>
        <w:spacing w:line="500" w:lineRule="exact"/>
        <w:ind w:firstLine="420"/>
        <w:rPr>
          <w:rFonts w:hint="eastAsia" w:ascii="Times New Roman" w:hAnsi="Times New Roman" w:eastAsia="宋体" w:cs="Times New Roman"/>
          <w:snapToGrid w:val="0"/>
          <w:kern w:val="0"/>
          <w:sz w:val="24"/>
          <w:szCs w:val="24"/>
        </w:rPr>
      </w:pPr>
    </w:p>
    <w:p>
      <w:pPr>
        <w:widowControl/>
        <w:spacing w:line="500" w:lineRule="exact"/>
        <w:ind w:firstLine="420"/>
        <w:rPr>
          <w:rFonts w:hint="eastAsia" w:ascii="Times New Roman" w:hAnsi="Times New Roman" w:eastAsia="宋体" w:cs="Times New Roman"/>
          <w:snapToGrid w:val="0"/>
          <w:kern w:val="0"/>
          <w:sz w:val="24"/>
          <w:szCs w:val="24"/>
        </w:rPr>
        <w:sectPr>
          <w:pgSz w:w="11906" w:h="16838"/>
          <w:pgMar w:top="1440" w:right="1800" w:bottom="1440" w:left="1800" w:header="851" w:footer="992" w:gutter="0"/>
          <w:cols w:space="425" w:num="1"/>
          <w:docGrid w:type="lines" w:linePitch="312" w:charSpace="0"/>
        </w:sectPr>
      </w:pPr>
    </w:p>
    <w:p>
      <w:pPr>
        <w:widowControl/>
        <w:spacing w:line="500" w:lineRule="exact"/>
        <w:jc w:val="center"/>
        <w:rPr>
          <w:rFonts w:ascii="Times New Roman" w:hAnsi="Times New Roman"/>
          <w:b/>
          <w:snapToGrid w:val="0"/>
          <w:kern w:val="0"/>
          <w:sz w:val="24"/>
          <w:szCs w:val="24"/>
        </w:rPr>
      </w:pPr>
      <w:r>
        <w:rPr>
          <w:rFonts w:hint="eastAsia" w:ascii="Times New Roman" w:hAnsi="Times New Roman"/>
          <w:b/>
          <w:snapToGrid w:val="0"/>
          <w:kern w:val="0"/>
          <w:sz w:val="24"/>
          <w:szCs w:val="24"/>
        </w:rPr>
        <w:t>表7.2-1</w:t>
      </w:r>
      <w:r>
        <w:rPr>
          <w:rFonts w:ascii="Times New Roman" w:hAnsi="Times New Roman"/>
          <w:b/>
          <w:snapToGrid w:val="0"/>
          <w:kern w:val="0"/>
          <w:sz w:val="24"/>
          <w:szCs w:val="24"/>
        </w:rPr>
        <w:t xml:space="preserve"> </w:t>
      </w:r>
      <w:r>
        <w:rPr>
          <w:rFonts w:hint="eastAsia" w:ascii="Times New Roman" w:hAnsi="Times New Roman"/>
          <w:b/>
          <w:snapToGrid w:val="0"/>
          <w:kern w:val="0"/>
          <w:sz w:val="24"/>
          <w:szCs w:val="24"/>
        </w:rPr>
        <w:t>厂区内各点位检测项目</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1350"/>
        <w:gridCol w:w="3333"/>
        <w:gridCol w:w="22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63" w:type="dxa"/>
            <w:gridSpan w:val="2"/>
            <w:vAlign w:val="center"/>
          </w:tcPr>
          <w:p>
            <w:pPr>
              <w:widowControl/>
              <w:jc w:val="center"/>
              <w:rPr>
                <w:rFonts w:ascii="Times New Roman" w:hAnsi="Times New Roman"/>
                <w:b/>
                <w:snapToGrid w:val="0"/>
                <w:szCs w:val="21"/>
              </w:rPr>
            </w:pPr>
            <w:r>
              <w:rPr>
                <w:rFonts w:hint="eastAsia" w:ascii="Times New Roman" w:hAnsi="Times New Roman"/>
                <w:b/>
                <w:snapToGrid w:val="0"/>
                <w:szCs w:val="21"/>
              </w:rPr>
              <w:t>点位</w:t>
            </w:r>
          </w:p>
        </w:tc>
        <w:tc>
          <w:tcPr>
            <w:tcW w:w="3333" w:type="dxa"/>
            <w:vAlign w:val="center"/>
          </w:tcPr>
          <w:p>
            <w:pPr>
              <w:widowControl/>
              <w:jc w:val="center"/>
              <w:rPr>
                <w:rFonts w:ascii="Times New Roman" w:hAnsi="Times New Roman"/>
                <w:b/>
                <w:snapToGrid w:val="0"/>
                <w:szCs w:val="21"/>
              </w:rPr>
            </w:pPr>
            <w:r>
              <w:rPr>
                <w:rFonts w:hint="eastAsia" w:ascii="Times New Roman" w:hAnsi="Times New Roman"/>
                <w:b/>
                <w:snapToGrid w:val="0"/>
                <w:szCs w:val="21"/>
              </w:rPr>
              <w:t>分析项目*</w:t>
            </w:r>
          </w:p>
        </w:tc>
        <w:tc>
          <w:tcPr>
            <w:tcW w:w="2210" w:type="dxa"/>
            <w:vAlign w:val="center"/>
          </w:tcPr>
          <w:p>
            <w:pPr>
              <w:widowControl/>
              <w:jc w:val="center"/>
              <w:rPr>
                <w:rFonts w:ascii="Times New Roman" w:hAnsi="Times New Roman"/>
                <w:b/>
                <w:snapToGrid w:val="0"/>
                <w:szCs w:val="21"/>
              </w:rPr>
            </w:pPr>
            <w:r>
              <w:rPr>
                <w:rFonts w:hint="eastAsia" w:ascii="Times New Roman" w:hAnsi="Times New Roman"/>
                <w:b/>
                <w:snapToGrid w:val="0"/>
                <w:szCs w:val="21"/>
              </w:rPr>
              <w:t>所属行业类别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1413" w:type="dxa"/>
            <w:vAlign w:val="center"/>
          </w:tcPr>
          <w:p>
            <w:pPr>
              <w:widowControl/>
              <w:jc w:val="center"/>
              <w:rPr>
                <w:rFonts w:ascii="Times New Roman" w:hAnsi="Times New Roman"/>
                <w:snapToGrid w:val="0"/>
                <w:szCs w:val="21"/>
              </w:rPr>
            </w:pPr>
            <w:r>
              <w:rPr>
                <w:rFonts w:hint="eastAsia" w:ascii="Times New Roman" w:hAnsi="Times New Roman"/>
                <w:snapToGrid w:val="0"/>
                <w:szCs w:val="21"/>
              </w:rPr>
              <w:t>土壤监测</w:t>
            </w:r>
          </w:p>
        </w:tc>
        <w:tc>
          <w:tcPr>
            <w:tcW w:w="1350" w:type="dxa"/>
            <w:vAlign w:val="center"/>
          </w:tcPr>
          <w:p>
            <w:pPr>
              <w:widowControl/>
              <w:jc w:val="center"/>
              <w:rPr>
                <w:rFonts w:hint="default" w:ascii="Times New Roman" w:hAnsi="Times New Roman" w:eastAsia="宋体"/>
                <w:snapToGrid w:val="0"/>
                <w:szCs w:val="21"/>
                <w:lang w:val="en-US" w:eastAsia="zh-CN"/>
              </w:rPr>
            </w:pPr>
            <w:r>
              <w:rPr>
                <w:rFonts w:hint="eastAsia" w:ascii="Times New Roman" w:hAnsi="Times New Roman"/>
                <w:snapToGrid w:val="0"/>
                <w:szCs w:val="21"/>
                <w:lang w:val="en-US" w:eastAsia="zh-CN"/>
              </w:rPr>
              <w:t>T0～T10</w:t>
            </w:r>
          </w:p>
        </w:tc>
        <w:tc>
          <w:tcPr>
            <w:tcW w:w="3333" w:type="dxa"/>
            <w:vAlign w:val="center"/>
          </w:tcPr>
          <w:p>
            <w:pPr>
              <w:widowControl/>
              <w:jc w:val="center"/>
              <w:rPr>
                <w:rFonts w:hint="default" w:ascii="Times New Roman" w:hAnsi="Times New Roman" w:eastAsia="宋体"/>
                <w:snapToGrid w:val="0"/>
                <w:szCs w:val="21"/>
                <w:lang w:val="en-US" w:eastAsia="zh-CN"/>
              </w:rPr>
            </w:pPr>
            <w:r>
              <w:rPr>
                <w:rFonts w:hint="eastAsia" w:ascii="Times New Roman" w:hAnsi="Times New Roman"/>
                <w:snapToGrid w:val="0"/>
                <w:szCs w:val="21"/>
                <w:lang w:val="en-US" w:eastAsia="zh-CN"/>
              </w:rPr>
              <w:t>建设用地</w:t>
            </w:r>
            <w:r>
              <w:rPr>
                <w:rFonts w:hint="eastAsia" w:ascii="Times New Roman" w:hAnsi="Times New Roman"/>
                <w:snapToGrid w:val="0"/>
                <w:szCs w:val="21"/>
              </w:rPr>
              <w:t>45项基本项</w:t>
            </w:r>
            <w:r>
              <w:rPr>
                <w:rFonts w:hint="eastAsia" w:ascii="Times New Roman" w:hAnsi="Times New Roman"/>
                <w:snapToGrid w:val="0"/>
                <w:szCs w:val="21"/>
                <w:lang w:val="en-US" w:eastAsia="zh-CN"/>
              </w:rPr>
              <w:t>+pH值+石油烃C</w:t>
            </w:r>
            <w:r>
              <w:rPr>
                <w:rFonts w:hint="eastAsia" w:ascii="Times New Roman" w:hAnsi="Times New Roman"/>
                <w:snapToGrid w:val="0"/>
                <w:szCs w:val="21"/>
                <w:vertAlign w:val="subscript"/>
                <w:lang w:val="en-US" w:eastAsia="zh-CN"/>
              </w:rPr>
              <w:t>10</w:t>
            </w:r>
            <w:r>
              <w:rPr>
                <w:rFonts w:hint="eastAsia" w:ascii="Times New Roman" w:hAnsi="Times New Roman"/>
                <w:snapToGrid w:val="0"/>
                <w:szCs w:val="21"/>
                <w:lang w:val="en-US" w:eastAsia="zh-CN"/>
              </w:rPr>
              <w:t>～C</w:t>
            </w:r>
            <w:r>
              <w:rPr>
                <w:rFonts w:hint="eastAsia" w:ascii="Times New Roman" w:hAnsi="Times New Roman"/>
                <w:snapToGrid w:val="0"/>
                <w:szCs w:val="21"/>
                <w:vertAlign w:val="subscript"/>
                <w:lang w:val="en-US" w:eastAsia="zh-CN"/>
              </w:rPr>
              <w:t>40</w:t>
            </w:r>
          </w:p>
        </w:tc>
        <w:tc>
          <w:tcPr>
            <w:tcW w:w="2210" w:type="dxa"/>
            <w:vMerge w:val="restart"/>
            <w:vAlign w:val="center"/>
          </w:tcPr>
          <w:p>
            <w:pPr>
              <w:widowControl/>
              <w:jc w:val="center"/>
              <w:rPr>
                <w:rFonts w:ascii="Times New Roman" w:hAnsi="Times New Roman"/>
                <w:snapToGrid w:val="0"/>
                <w:sz w:val="21"/>
                <w:szCs w:val="21"/>
              </w:rPr>
            </w:pPr>
            <w:r>
              <w:rPr>
                <w:rFonts w:hint="default" w:ascii="Times New Roman" w:hAnsi="Times New Roman"/>
                <w:snapToGrid w:val="0"/>
                <w:kern w:val="0"/>
                <w:sz w:val="21"/>
                <w:szCs w:val="21"/>
                <w:lang w:eastAsia="zh-CN"/>
              </w:rPr>
              <w:t>C266 专用化学产品制造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8" w:hRule="atLeast"/>
          <w:jc w:val="center"/>
        </w:trPr>
        <w:tc>
          <w:tcPr>
            <w:tcW w:w="1413" w:type="dxa"/>
            <w:vAlign w:val="center"/>
          </w:tcPr>
          <w:p>
            <w:pPr>
              <w:widowControl/>
              <w:jc w:val="center"/>
              <w:rPr>
                <w:rFonts w:ascii="Times New Roman" w:hAnsi="Times New Roman"/>
                <w:snapToGrid w:val="0"/>
                <w:szCs w:val="21"/>
              </w:rPr>
            </w:pPr>
            <w:r>
              <w:rPr>
                <w:rFonts w:hint="eastAsia" w:ascii="Times New Roman" w:hAnsi="Times New Roman"/>
                <w:snapToGrid w:val="0"/>
                <w:szCs w:val="21"/>
              </w:rPr>
              <w:t>地下水监测</w:t>
            </w:r>
          </w:p>
        </w:tc>
        <w:tc>
          <w:tcPr>
            <w:tcW w:w="1350" w:type="dxa"/>
            <w:vAlign w:val="center"/>
          </w:tcPr>
          <w:p>
            <w:pPr>
              <w:widowControl/>
              <w:jc w:val="center"/>
              <w:rPr>
                <w:rFonts w:hint="default" w:ascii="Times New Roman" w:hAnsi="Times New Roman" w:eastAsia="宋体"/>
                <w:snapToGrid w:val="0"/>
                <w:szCs w:val="21"/>
                <w:lang w:val="en-US" w:eastAsia="zh-CN"/>
              </w:rPr>
            </w:pPr>
            <w:r>
              <w:rPr>
                <w:rFonts w:hint="eastAsia" w:ascii="Times New Roman" w:hAnsi="Times New Roman"/>
                <w:snapToGrid w:val="0"/>
                <w:szCs w:val="21"/>
                <w:lang w:val="en-US" w:eastAsia="zh-CN"/>
              </w:rPr>
              <w:t>D0</w:t>
            </w:r>
            <w:r>
              <w:rPr>
                <w:rFonts w:hint="eastAsia" w:ascii="Times New Roman" w:hAnsi="Times New Roman"/>
                <w:snapToGrid w:val="0"/>
                <w:szCs w:val="21"/>
              </w:rPr>
              <w:t>~</w:t>
            </w:r>
            <w:r>
              <w:rPr>
                <w:rFonts w:hint="eastAsia" w:ascii="Times New Roman" w:hAnsi="Times New Roman"/>
                <w:snapToGrid w:val="0"/>
                <w:szCs w:val="21"/>
                <w:lang w:val="en-US" w:eastAsia="zh-CN"/>
              </w:rPr>
              <w:t>D4</w:t>
            </w:r>
          </w:p>
        </w:tc>
        <w:tc>
          <w:tcPr>
            <w:tcW w:w="3333" w:type="dxa"/>
            <w:vAlign w:val="center"/>
          </w:tcPr>
          <w:p>
            <w:pPr>
              <w:widowControl/>
              <w:rPr>
                <w:rFonts w:hint="default" w:ascii="Times New Roman" w:hAnsi="Times New Roman" w:eastAsia="宋体" w:cs="Times New Roman"/>
                <w:snapToGrid w:val="0"/>
                <w:szCs w:val="21"/>
                <w:lang w:val="en-US"/>
              </w:rPr>
            </w:pPr>
            <w:r>
              <w:rPr>
                <w:rFonts w:hint="eastAsia" w:ascii="Times New Roman" w:hAnsi="Times New Roman" w:eastAsia="宋体" w:cs="Times New Roman"/>
                <w:snapToGrid w:val="0"/>
                <w:szCs w:val="21"/>
                <w:lang w:val="en-US" w:eastAsia="zh-CN"/>
              </w:rPr>
              <w:t>《地下水质量标准》（GB/T14848-2017）表1常规指标3</w:t>
            </w:r>
            <w:r>
              <w:rPr>
                <w:rFonts w:hint="eastAsia" w:ascii="Times New Roman" w:hAnsi="Times New Roman" w:cs="Times New Roman"/>
                <w:snapToGrid w:val="0"/>
                <w:szCs w:val="21"/>
                <w:lang w:val="en-US" w:eastAsia="zh-CN"/>
              </w:rPr>
              <w:t>7</w:t>
            </w:r>
            <w:r>
              <w:rPr>
                <w:rFonts w:hint="eastAsia" w:ascii="Times New Roman" w:hAnsi="Times New Roman" w:eastAsia="宋体" w:cs="Times New Roman"/>
                <w:snapToGrid w:val="0"/>
                <w:szCs w:val="21"/>
                <w:lang w:val="en-US" w:eastAsia="zh-CN"/>
              </w:rPr>
              <w:t>项</w:t>
            </w:r>
            <w:r>
              <w:rPr>
                <w:rFonts w:hint="eastAsia" w:ascii="Times New Roman" w:hAnsi="Times New Roman" w:cs="Times New Roman"/>
                <w:snapToGrid w:val="0"/>
                <w:szCs w:val="21"/>
                <w:lang w:val="en-US" w:eastAsia="zh-CN"/>
              </w:rPr>
              <w:t>+镍+</w:t>
            </w:r>
            <w:r>
              <w:rPr>
                <w:rFonts w:hint="eastAsia" w:ascii="Times New Roman" w:hAnsi="Times New Roman"/>
                <w:snapToGrid w:val="0"/>
                <w:szCs w:val="21"/>
                <w:lang w:val="en-US" w:eastAsia="zh-CN"/>
              </w:rPr>
              <w:t>pH值+建设用地</w:t>
            </w:r>
            <w:r>
              <w:rPr>
                <w:rFonts w:hint="eastAsia" w:ascii="Times New Roman" w:hAnsi="Times New Roman"/>
                <w:snapToGrid w:val="0"/>
                <w:szCs w:val="21"/>
              </w:rPr>
              <w:t>45项</w:t>
            </w:r>
            <w:r>
              <w:rPr>
                <w:rFonts w:hint="eastAsia" w:ascii="Times New Roman" w:hAnsi="Times New Roman"/>
                <w:snapToGrid w:val="0"/>
                <w:szCs w:val="21"/>
                <w:lang w:val="en-US" w:eastAsia="zh-CN"/>
              </w:rPr>
              <w:t>中VOCs、SVOCs+石油烃C</w:t>
            </w:r>
            <w:r>
              <w:rPr>
                <w:rFonts w:hint="eastAsia" w:ascii="Times New Roman" w:hAnsi="Times New Roman"/>
                <w:snapToGrid w:val="0"/>
                <w:szCs w:val="21"/>
                <w:vertAlign w:val="subscript"/>
                <w:lang w:val="en-US" w:eastAsia="zh-CN"/>
              </w:rPr>
              <w:t>10</w:t>
            </w:r>
            <w:r>
              <w:rPr>
                <w:rFonts w:hint="eastAsia" w:ascii="Times New Roman" w:hAnsi="Times New Roman"/>
                <w:snapToGrid w:val="0"/>
                <w:szCs w:val="21"/>
                <w:lang w:val="en-US" w:eastAsia="zh-CN"/>
              </w:rPr>
              <w:t>～C</w:t>
            </w:r>
            <w:r>
              <w:rPr>
                <w:rFonts w:hint="eastAsia" w:ascii="Times New Roman" w:hAnsi="Times New Roman"/>
                <w:snapToGrid w:val="0"/>
                <w:szCs w:val="21"/>
                <w:vertAlign w:val="subscript"/>
                <w:lang w:val="en-US" w:eastAsia="zh-CN"/>
              </w:rPr>
              <w:t>40</w:t>
            </w:r>
          </w:p>
        </w:tc>
        <w:tc>
          <w:tcPr>
            <w:tcW w:w="2210" w:type="dxa"/>
            <w:vMerge w:val="continue"/>
            <w:vAlign w:val="center"/>
          </w:tcPr>
          <w:p>
            <w:pPr>
              <w:widowControl/>
              <w:jc w:val="center"/>
              <w:rPr>
                <w:rFonts w:ascii="Times New Roman" w:hAnsi="Times New Roman"/>
                <w:snapToGrid w:val="0"/>
                <w:szCs w:val="21"/>
              </w:rPr>
            </w:pPr>
          </w:p>
        </w:tc>
      </w:tr>
    </w:tbl>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sectPr>
          <w:pgSz w:w="11906" w:h="16838"/>
          <w:pgMar w:top="1440" w:right="1800" w:bottom="1440" w:left="1800" w:header="851" w:footer="992" w:gutter="0"/>
          <w:cols w:space="425" w:num="1"/>
          <w:docGrid w:type="lines" w:linePitch="312" w:charSpace="0"/>
        </w:sectPr>
      </w:pPr>
    </w:p>
    <w:p>
      <w:pPr>
        <w:keepNext/>
        <w:keepLines/>
        <w:spacing w:line="500" w:lineRule="exact"/>
        <w:outlineLvl w:val="0"/>
        <w:rPr>
          <w:rFonts w:ascii="Times New Roman" w:hAnsi="Times New Roman"/>
          <w:b/>
          <w:bCs/>
          <w:kern w:val="44"/>
          <w:sz w:val="36"/>
          <w:szCs w:val="44"/>
        </w:rPr>
      </w:pPr>
      <w:bookmarkStart w:id="166" w:name="_Toc13847403"/>
      <w:bookmarkStart w:id="167" w:name="_Toc5425"/>
      <w:r>
        <w:rPr>
          <w:rFonts w:hint="eastAsia" w:ascii="Times New Roman" w:hAnsi="Times New Roman"/>
          <w:b/>
          <w:bCs/>
          <w:kern w:val="44"/>
          <w:sz w:val="36"/>
          <w:szCs w:val="44"/>
        </w:rPr>
        <w:t>8</w:t>
      </w:r>
      <w:r>
        <w:rPr>
          <w:rFonts w:ascii="Times New Roman" w:hAnsi="Times New Roman"/>
          <w:b/>
          <w:bCs/>
          <w:kern w:val="44"/>
          <w:sz w:val="36"/>
          <w:szCs w:val="44"/>
        </w:rPr>
        <w:t xml:space="preserve"> </w:t>
      </w:r>
      <w:r>
        <w:rPr>
          <w:rFonts w:hint="eastAsia" w:ascii="Times New Roman" w:hAnsi="Times New Roman"/>
          <w:b/>
          <w:bCs/>
          <w:kern w:val="44"/>
          <w:sz w:val="36"/>
          <w:szCs w:val="44"/>
        </w:rPr>
        <w:t>现场采样</w:t>
      </w:r>
      <w:bookmarkEnd w:id="166"/>
      <w:bookmarkEnd w:id="167"/>
    </w:p>
    <w:p>
      <w:pPr>
        <w:widowControl/>
        <w:spacing w:line="500" w:lineRule="exact"/>
        <w:ind w:firstLine="480" w:firstLineChars="200"/>
        <w:contextualSpacing/>
        <w:rPr>
          <w:rFonts w:ascii="Times New Roman" w:hAnsi="Times New Roman"/>
          <w:color w:val="000000"/>
          <w:kern w:val="0"/>
          <w:sz w:val="24"/>
        </w:rPr>
      </w:pPr>
      <w:r>
        <w:rPr>
          <w:rFonts w:ascii="Times New Roman" w:hAnsi="Times New Roman"/>
          <w:color w:val="000000"/>
          <w:kern w:val="0"/>
          <w:sz w:val="24"/>
        </w:rPr>
        <w:t>本项目调查采样的现场采样和实验室分析按照《工业企业场地环境调查评估与修复工作指南（试行）》的具体要求实施。</w:t>
      </w:r>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168" w:name="_Toc486615305"/>
      <w:bookmarkStart w:id="169" w:name="_Toc536433497"/>
      <w:bookmarkStart w:id="170" w:name="_Toc471250072"/>
      <w:bookmarkStart w:id="171" w:name="_Toc498814003"/>
      <w:bookmarkStart w:id="172" w:name="_Toc510455846"/>
      <w:bookmarkStart w:id="173" w:name="_Toc489367281"/>
      <w:bookmarkStart w:id="174" w:name="_Toc469920123"/>
      <w:bookmarkStart w:id="175" w:name="_Toc6537"/>
      <w:r>
        <w:rPr>
          <w:rFonts w:ascii="Times New Roman" w:hAnsi="Times New Roman"/>
          <w:b/>
          <w:bCs/>
          <w:sz w:val="28"/>
          <w:szCs w:val="32"/>
        </w:rPr>
        <w:t>8.1土壤样品的采集、保存和运输</w:t>
      </w:r>
      <w:bookmarkEnd w:id="168"/>
      <w:bookmarkEnd w:id="169"/>
      <w:bookmarkEnd w:id="170"/>
      <w:bookmarkEnd w:id="171"/>
      <w:bookmarkEnd w:id="172"/>
      <w:bookmarkEnd w:id="173"/>
      <w:bookmarkEnd w:id="174"/>
      <w:bookmarkEnd w:id="175"/>
    </w:p>
    <w:p>
      <w:pPr>
        <w:spacing w:line="500" w:lineRule="exact"/>
        <w:ind w:firstLine="420"/>
        <w:rPr>
          <w:rFonts w:ascii="Times New Roman" w:hAnsi="Times New Roman"/>
          <w:color w:val="000000"/>
          <w:kern w:val="0"/>
          <w:sz w:val="24"/>
        </w:rPr>
      </w:pPr>
      <w:r>
        <w:rPr>
          <w:rFonts w:ascii="Times New Roman" w:hAnsi="Times New Roman"/>
          <w:color w:val="000000"/>
          <w:kern w:val="0"/>
          <w:sz w:val="24"/>
        </w:rPr>
        <w:t>根据采样点的设计位置，结合</w:t>
      </w:r>
      <w:r>
        <w:rPr>
          <w:rFonts w:hint="eastAsia" w:ascii="Times New Roman" w:hAnsi="Times New Roman"/>
          <w:color w:val="000000"/>
          <w:kern w:val="0"/>
          <w:sz w:val="24"/>
        </w:rPr>
        <w:t>初步</w:t>
      </w:r>
      <w:r>
        <w:rPr>
          <w:rFonts w:ascii="Times New Roman" w:hAnsi="Times New Roman"/>
          <w:color w:val="000000"/>
          <w:kern w:val="0"/>
          <w:sz w:val="24"/>
        </w:rPr>
        <w:t>识别可能存在的污染区域以及现场的实际可进入状况，在现场选择在合适的位置钻孔。钻机就位后由现场工程师检查设备，用带有破碎锤</w:t>
      </w:r>
      <w:r>
        <w:rPr>
          <w:rFonts w:hint="eastAsia" w:ascii="Times New Roman" w:hAnsi="Times New Roman"/>
          <w:color w:val="000000"/>
          <w:kern w:val="0"/>
          <w:sz w:val="24"/>
        </w:rPr>
        <w:t>采样设备</w:t>
      </w:r>
      <w:r>
        <w:rPr>
          <w:rFonts w:ascii="Times New Roman" w:hAnsi="Times New Roman"/>
          <w:color w:val="000000"/>
          <w:kern w:val="0"/>
          <w:sz w:val="24"/>
        </w:rPr>
        <w:t>在混凝土硬化的地面进行破碎。为了解目标场地的地质情况，调查阶段的土壤采样点设计深度为</w:t>
      </w:r>
      <w:r>
        <w:rPr>
          <w:rFonts w:hint="eastAsia" w:ascii="Times New Roman" w:hAnsi="Times New Roman"/>
          <w:color w:val="000000"/>
          <w:kern w:val="0"/>
          <w:sz w:val="24"/>
        </w:rPr>
        <w:t>6</w:t>
      </w:r>
      <w:r>
        <w:rPr>
          <w:rFonts w:ascii="Times New Roman" w:hAnsi="Times New Roman"/>
          <w:color w:val="000000"/>
          <w:kern w:val="0"/>
          <w:sz w:val="24"/>
        </w:rPr>
        <w:t>m</w:t>
      </w:r>
      <w:r>
        <w:rPr>
          <w:rFonts w:hint="eastAsia" w:ascii="Times New Roman" w:hAnsi="Times New Roman"/>
          <w:color w:val="000000"/>
          <w:kern w:val="0"/>
          <w:sz w:val="24"/>
        </w:rPr>
        <w:t>。</w:t>
      </w:r>
    </w:p>
    <w:p>
      <w:pPr>
        <w:widowControl/>
        <w:spacing w:line="500" w:lineRule="exact"/>
        <w:ind w:firstLine="480" w:firstLineChars="200"/>
        <w:contextualSpacing/>
        <w:rPr>
          <w:rFonts w:ascii="Times New Roman" w:hAnsi="Times New Roman"/>
          <w:color w:val="000000"/>
          <w:kern w:val="0"/>
          <w:sz w:val="24"/>
        </w:rPr>
      </w:pPr>
      <w:r>
        <w:rPr>
          <w:rFonts w:ascii="Times New Roman" w:hAnsi="Times New Roman"/>
          <w:color w:val="000000"/>
          <w:kern w:val="0"/>
          <w:sz w:val="24"/>
        </w:rPr>
        <w:t>调查钻探取样工作采用美国Geoprobe自动采样设备（图8.1-</w:t>
      </w:r>
      <w:r>
        <w:rPr>
          <w:rFonts w:hint="eastAsia" w:ascii="Times New Roman" w:hAnsi="Times New Roman"/>
          <w:color w:val="000000"/>
          <w:kern w:val="0"/>
          <w:sz w:val="24"/>
        </w:rPr>
        <w:t>1</w:t>
      </w:r>
      <w:r>
        <w:rPr>
          <w:rFonts w:ascii="Times New Roman" w:hAnsi="Times New Roman"/>
          <w:color w:val="000000"/>
          <w:kern w:val="0"/>
          <w:sz w:val="24"/>
        </w:rPr>
        <w:t>）进行土壤样品的采集工作。其含有的DT 22土壤取样系统，能够连续快速的取到表层到指定深度的土壤样品，土壤样品直接保存在PETG LINER中，能够完整的保护好样品的品质及土壤原状，钻探过程中连续采集土壤样品直至目标取样深度。</w:t>
      </w:r>
    </w:p>
    <w:p>
      <w:pPr>
        <w:widowControl/>
        <w:spacing w:line="500" w:lineRule="exact"/>
        <w:ind w:firstLine="480" w:firstLineChars="200"/>
        <w:contextualSpacing/>
        <w:rPr>
          <w:rFonts w:ascii="Times New Roman" w:hAnsi="Times New Roman"/>
          <w:b/>
          <w:color w:val="FF0000"/>
          <w:sz w:val="24"/>
        </w:rPr>
      </w:pPr>
      <w:r>
        <w:rPr>
          <w:rFonts w:ascii="Times New Roman" w:hAnsi="Times New Roman"/>
          <w:color w:val="000000"/>
          <w:kern w:val="0"/>
          <w:sz w:val="24"/>
        </w:rPr>
        <w:t>采样时用干净的不锈钢剪刀从取土器中采集相对新鲜的土壤，部分装入密封塑料袋中用于 PID 与XRF</w:t>
      </w:r>
      <w:r>
        <w:rPr>
          <w:rFonts w:hint="eastAsia" w:ascii="Times New Roman" w:hAnsi="Times New Roman"/>
          <w:color w:val="000000"/>
          <w:kern w:val="0"/>
          <w:sz w:val="24"/>
        </w:rPr>
        <w:t>分别检测检测土样中挥发性有机物和重金属的存在情况。同时通过目测判断该间隔段的土壤是否存在污染痕迹，现场污染观察结果和快速检测仪器分析的数据作为选择送检样品的参考条件。</w:t>
      </w:r>
      <w:r>
        <w:rPr>
          <w:rFonts w:ascii="Times New Roman" w:hAnsi="Times New Roman"/>
          <w:color w:val="000000"/>
          <w:kern w:val="0"/>
          <w:sz w:val="24"/>
        </w:rPr>
        <w:t xml:space="preserve">PID </w:t>
      </w:r>
      <w:r>
        <w:rPr>
          <w:rFonts w:hint="eastAsia" w:ascii="Times New Roman" w:hAnsi="Times New Roman"/>
          <w:color w:val="000000"/>
          <w:kern w:val="0"/>
          <w:sz w:val="24"/>
        </w:rPr>
        <w:t>可用于污染土壤中</w:t>
      </w:r>
      <w:r>
        <w:rPr>
          <w:rFonts w:ascii="Times New Roman" w:hAnsi="Times New Roman"/>
          <w:color w:val="000000"/>
          <w:kern w:val="0"/>
          <w:sz w:val="24"/>
        </w:rPr>
        <w:t xml:space="preserve"> VOCs </w:t>
      </w:r>
      <w:r>
        <w:rPr>
          <w:rFonts w:hint="eastAsia" w:ascii="Times New Roman" w:hAnsi="Times New Roman"/>
          <w:color w:val="000000"/>
          <w:kern w:val="0"/>
          <w:sz w:val="24"/>
        </w:rPr>
        <w:t>污染物的快速检测，利用紫外光灯的能量离子化有机气体，再加以探测的仪器。</w:t>
      </w:r>
      <w:r>
        <w:rPr>
          <w:rFonts w:ascii="Times New Roman" w:hAnsi="Times New Roman"/>
          <w:color w:val="000000"/>
          <w:kern w:val="0"/>
          <w:sz w:val="24"/>
        </w:rPr>
        <w:t>XRF</w:t>
      </w:r>
      <w:r>
        <w:rPr>
          <w:rFonts w:hint="eastAsia" w:ascii="Times New Roman" w:hAnsi="Times New Roman"/>
          <w:color w:val="000000"/>
          <w:kern w:val="0"/>
          <w:sz w:val="24"/>
        </w:rPr>
        <w:t>可用于污染土壤中重金属的快速检测，不同土壤中重金属元素发出的特征</w:t>
      </w:r>
      <w:r>
        <w:rPr>
          <w:rFonts w:ascii="Times New Roman" w:hAnsi="Times New Roman"/>
          <w:color w:val="000000"/>
          <w:kern w:val="0"/>
          <w:sz w:val="24"/>
        </w:rPr>
        <w:t>X</w:t>
      </w:r>
      <w:r>
        <w:rPr>
          <w:rFonts w:hint="eastAsia" w:ascii="Times New Roman" w:hAnsi="Times New Roman"/>
          <w:color w:val="000000"/>
          <w:kern w:val="0"/>
          <w:sz w:val="24"/>
        </w:rPr>
        <w:t>射线能量和波长各不相同，因此通过对特征</w:t>
      </w:r>
      <w:r>
        <w:rPr>
          <w:rFonts w:ascii="Times New Roman" w:hAnsi="Times New Roman"/>
          <w:color w:val="000000"/>
          <w:kern w:val="0"/>
          <w:sz w:val="24"/>
        </w:rPr>
        <w:t>X</w:t>
      </w:r>
      <w:r>
        <w:rPr>
          <w:rFonts w:hint="eastAsia" w:ascii="Times New Roman" w:hAnsi="Times New Roman"/>
          <w:color w:val="000000"/>
          <w:kern w:val="0"/>
          <w:sz w:val="24"/>
        </w:rPr>
        <w:t>射线的能量的强弱检测，即可以得到土壤中重金属污染的浓度。</w:t>
      </w:r>
    </w:p>
    <w:p>
      <w:pPr>
        <w:widowControl/>
        <w:spacing w:line="500" w:lineRule="exact"/>
        <w:ind w:firstLine="480" w:firstLineChars="200"/>
        <w:contextualSpacing/>
        <w:rPr>
          <w:rFonts w:ascii="Times New Roman" w:hAnsi="Times New Roman"/>
          <w:color w:val="000000"/>
          <w:kern w:val="0"/>
          <w:sz w:val="24"/>
        </w:rPr>
      </w:pPr>
      <w:r>
        <w:rPr>
          <w:rFonts w:hint="eastAsia" w:ascii="Times New Roman" w:hAnsi="Times New Roman"/>
          <w:color w:val="000000"/>
          <w:kern w:val="0"/>
          <w:sz w:val="24"/>
        </w:rPr>
        <w:t>根据不同的检测指标，土壤样品截取后，按要求将土壤样品装入不同的样品瓶中。现场人员及时填写采样记录表（主要内容包括：样品名称和编号，气象条件，采样时间，采样位置，采样深度，样品的颜色、气味、质地等，现场检测结果，采样人员等），并在管体上贴上标签，注明样品编号、采样日期、采样人等信息。样品制备完成后在</w:t>
      </w:r>
      <w:r>
        <w:rPr>
          <w:rFonts w:ascii="Times New Roman" w:hAnsi="Times New Roman"/>
          <w:color w:val="000000"/>
          <w:kern w:val="0"/>
          <w:sz w:val="24"/>
        </w:rPr>
        <w:t xml:space="preserve">4 </w:t>
      </w:r>
      <w:r>
        <w:rPr>
          <w:rFonts w:hint="eastAsia" w:ascii="Times New Roman" w:hAnsi="Times New Roman"/>
          <w:color w:val="000000"/>
          <w:kern w:val="0"/>
          <w:sz w:val="24"/>
        </w:rPr>
        <w:t>℃以下的低温环境中保存，</w:t>
      </w:r>
      <w:r>
        <w:rPr>
          <w:rFonts w:ascii="Times New Roman" w:hAnsi="Times New Roman"/>
          <w:color w:val="000000"/>
          <w:kern w:val="0"/>
          <w:sz w:val="24"/>
        </w:rPr>
        <w:t>48 h</w:t>
      </w:r>
      <w:r>
        <w:rPr>
          <w:rFonts w:hint="eastAsia" w:ascii="Times New Roman" w:hAnsi="Times New Roman"/>
          <w:color w:val="000000"/>
          <w:kern w:val="0"/>
          <w:sz w:val="24"/>
        </w:rPr>
        <w:t>内送至实验室分析。</w:t>
      </w:r>
    </w:p>
    <w:p>
      <w:pPr>
        <w:widowControl/>
        <w:spacing w:line="500" w:lineRule="exact"/>
        <w:ind w:firstLine="480" w:firstLineChars="200"/>
        <w:contextualSpacing/>
        <w:rPr>
          <w:rFonts w:ascii="Times New Roman" w:hAnsi="Times New Roman"/>
          <w:color w:val="000000"/>
          <w:kern w:val="0"/>
          <w:sz w:val="24"/>
        </w:rPr>
      </w:pPr>
      <w:r>
        <w:rPr>
          <w:rFonts w:hint="eastAsia" w:ascii="Times New Roman" w:hAnsi="Times New Roman"/>
          <w:color w:val="000000"/>
          <w:kern w:val="0"/>
          <w:sz w:val="24"/>
        </w:rPr>
        <w:t>样品装运前核对采样记录表、样签等，如有缺漏项和错误处，应及时补齐和修正后方可装运。样品运输过程中严防损失、混淆或玷污。样品送到实验室后，采样人员和实验室样品管理员双方同时清点核实样品，并在样品运输跟踪单上签字确认。</w:t>
      </w:r>
    </w:p>
    <w:p>
      <w:pPr>
        <w:widowControl/>
        <w:spacing w:line="500" w:lineRule="exact"/>
        <w:ind w:firstLine="480" w:firstLineChars="200"/>
        <w:contextualSpacing/>
        <w:rPr>
          <w:rFonts w:ascii="Times New Roman" w:hAnsi="Times New Roman"/>
          <w:color w:val="000000"/>
          <w:kern w:val="0"/>
          <w:sz w:val="24"/>
        </w:rPr>
      </w:pPr>
      <w:r>
        <w:rPr>
          <w:rFonts w:hint="eastAsia" w:ascii="Times New Roman" w:hAnsi="Times New Roman"/>
          <w:color w:val="000000"/>
          <w:kern w:val="0"/>
          <w:sz w:val="24"/>
        </w:rPr>
        <w:t>土壤采样孔的岩心根据《岩土工程勘察规范》（</w:t>
      </w:r>
      <w:r>
        <w:rPr>
          <w:rFonts w:ascii="Times New Roman" w:hAnsi="Times New Roman"/>
          <w:color w:val="000000"/>
          <w:kern w:val="0"/>
          <w:sz w:val="24"/>
        </w:rPr>
        <w:t>GB50021-2001</w:t>
      </w:r>
      <w:r>
        <w:rPr>
          <w:rFonts w:hint="eastAsia" w:ascii="Times New Roman" w:hAnsi="Times New Roman"/>
          <w:color w:val="000000"/>
          <w:kern w:val="0"/>
          <w:sz w:val="24"/>
        </w:rPr>
        <w:t>）进行编录，同时记录的内容包括土壤的气味、污染痕迹、采样深度等。监测井安装参数和钻孔记录在附件</w:t>
      </w:r>
      <w:r>
        <w:rPr>
          <w:rFonts w:ascii="Times New Roman" w:hAnsi="Times New Roman"/>
          <w:color w:val="000000"/>
          <w:kern w:val="0"/>
          <w:sz w:val="24"/>
        </w:rPr>
        <w:t>环境调查井孔柱状图和钻孔示意图中提供，包括地层结构、水位标高和监测井具体结构等其它相关信息。</w:t>
      </w:r>
    </w:p>
    <w:p>
      <w:pPr>
        <w:widowControl/>
        <w:spacing w:line="500" w:lineRule="exact"/>
        <w:ind w:firstLine="480" w:firstLineChars="200"/>
        <w:contextualSpacing/>
        <w:rPr>
          <w:rFonts w:ascii="Times New Roman" w:hAnsi="Times New Roman"/>
          <w:sz w:val="24"/>
        </w:rPr>
      </w:pPr>
      <w:r>
        <w:rPr>
          <w:rFonts w:ascii="Times New Roman" w:hAnsi="Times New Roman"/>
          <w:color w:val="000000"/>
          <w:kern w:val="0"/>
          <w:sz w:val="24"/>
        </w:rPr>
        <w:t>采样调查中，</w:t>
      </w:r>
      <w:r>
        <w:rPr>
          <w:rFonts w:hint="eastAsia" w:ascii="Times New Roman" w:hAnsi="Times New Roman"/>
          <w:color w:val="000000"/>
          <w:kern w:val="0"/>
          <w:sz w:val="24"/>
        </w:rPr>
        <w:t>根据场地生产历史及勘查人员对场地土壤颜色、气味等性状的初步判断，结合现场取样时</w:t>
      </w:r>
      <w:r>
        <w:rPr>
          <w:rFonts w:ascii="Times New Roman" w:hAnsi="Times New Roman"/>
          <w:color w:val="000000"/>
          <w:kern w:val="0"/>
          <w:sz w:val="24"/>
        </w:rPr>
        <w:t>PID</w:t>
      </w:r>
      <w:r>
        <w:rPr>
          <w:rFonts w:hint="eastAsia" w:ascii="Times New Roman" w:hAnsi="Times New Roman"/>
          <w:color w:val="000000"/>
          <w:kern w:val="0"/>
          <w:sz w:val="24"/>
        </w:rPr>
        <w:t>快速检测结果，从每个采样点筛选</w:t>
      </w:r>
      <w:r>
        <w:rPr>
          <w:rFonts w:ascii="Times New Roman" w:hAnsi="Times New Roman"/>
          <w:color w:val="000000"/>
          <w:kern w:val="0"/>
          <w:sz w:val="24"/>
        </w:rPr>
        <w:t>1</w:t>
      </w:r>
      <w:r>
        <w:rPr>
          <w:rFonts w:hint="eastAsia" w:ascii="Times New Roman" w:hAnsi="Times New Roman"/>
          <w:color w:val="000000"/>
          <w:kern w:val="0"/>
          <w:sz w:val="24"/>
        </w:rPr>
        <w:t>~</w:t>
      </w:r>
      <w:r>
        <w:rPr>
          <w:rFonts w:ascii="Times New Roman" w:hAnsi="Times New Roman"/>
          <w:color w:val="000000"/>
          <w:kern w:val="0"/>
          <w:sz w:val="24"/>
        </w:rPr>
        <w:t>3</w:t>
      </w:r>
      <w:r>
        <w:rPr>
          <w:rFonts w:hint="eastAsia" w:ascii="Times New Roman" w:hAnsi="Times New Roman"/>
          <w:color w:val="000000"/>
          <w:kern w:val="0"/>
          <w:sz w:val="24"/>
        </w:rPr>
        <w:t>个样品</w:t>
      </w:r>
      <w:r>
        <w:rPr>
          <w:rFonts w:ascii="Times New Roman" w:hAnsi="Times New Roman"/>
          <w:color w:val="000000"/>
          <w:kern w:val="0"/>
          <w:sz w:val="24"/>
        </w:rPr>
        <w:t>进行实验室检测（另外选取 10%的平行样品</w:t>
      </w:r>
      <w:r>
        <w:rPr>
          <w:rFonts w:hint="eastAsia" w:ascii="Times New Roman" w:hAnsi="Times New Roman"/>
          <w:color w:val="000000"/>
          <w:kern w:val="0"/>
          <w:sz w:val="24"/>
          <w:lang w:eastAsia="zh-CN"/>
        </w:rPr>
        <w:t>）</w:t>
      </w:r>
      <w:r>
        <w:rPr>
          <w:rFonts w:ascii="Times New Roman" w:hAnsi="Times New Roman"/>
          <w:color w:val="000000"/>
          <w:kern w:val="0"/>
          <w:sz w:val="24"/>
        </w:rPr>
        <w:t>。</w:t>
      </w:r>
    </w:p>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sectPr>
          <w:pgSz w:w="11906" w:h="16838"/>
          <w:pgMar w:top="1440" w:right="1800" w:bottom="1440" w:left="1800" w:header="851" w:footer="992" w:gutter="0"/>
          <w:cols w:space="425" w:num="1"/>
          <w:docGrid w:type="lines" w:linePitch="312" w:charSpace="0"/>
        </w:sectPr>
      </w:pPr>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176" w:name="_Toc1962"/>
      <w:r>
        <w:rPr>
          <w:rFonts w:ascii="Times New Roman" w:hAnsi="Times New Roman"/>
          <w:b/>
          <w:bCs/>
          <w:sz w:val="28"/>
          <w:szCs w:val="32"/>
        </w:rPr>
        <w:t>8.2</w:t>
      </w:r>
      <w:r>
        <w:rPr>
          <w:rFonts w:hint="eastAsia" w:ascii="Times New Roman" w:hAnsi="Times New Roman"/>
          <w:b/>
          <w:bCs/>
          <w:sz w:val="28"/>
          <w:szCs w:val="32"/>
        </w:rPr>
        <w:t>地下水</w:t>
      </w:r>
      <w:r>
        <w:rPr>
          <w:rFonts w:ascii="Times New Roman" w:hAnsi="Times New Roman"/>
          <w:b/>
          <w:bCs/>
          <w:sz w:val="28"/>
          <w:szCs w:val="32"/>
        </w:rPr>
        <w:t>样品的采集、保存和运输</w:t>
      </w:r>
      <w:bookmarkEnd w:id="176"/>
    </w:p>
    <w:p>
      <w:pPr>
        <w:widowControl/>
        <w:spacing w:line="500" w:lineRule="exact"/>
        <w:ind w:firstLine="480" w:firstLineChars="200"/>
        <w:contextualSpacing/>
        <w:rPr>
          <w:rFonts w:ascii="Times New Roman" w:hAnsi="Times New Roman"/>
          <w:color w:val="000000"/>
          <w:kern w:val="0"/>
          <w:sz w:val="24"/>
        </w:rPr>
      </w:pPr>
      <w:r>
        <w:rPr>
          <w:rFonts w:ascii="Times New Roman" w:hAnsi="Times New Roman"/>
          <w:color w:val="000000"/>
          <w:kern w:val="0"/>
          <w:sz w:val="24"/>
        </w:rPr>
        <w:t>地下水监测井采用美国Geoprobe</w:t>
      </w:r>
      <w:r>
        <w:rPr>
          <w:rFonts w:hint="eastAsia" w:ascii="Times New Roman" w:hAnsi="Times New Roman"/>
          <w:color w:val="000000"/>
          <w:kern w:val="0"/>
          <w:sz w:val="24"/>
        </w:rPr>
        <w:t>自动采样设备中钻井设备</w:t>
      </w:r>
      <w:r>
        <w:rPr>
          <w:rFonts w:ascii="Times New Roman" w:hAnsi="Times New Roman"/>
          <w:color w:val="000000"/>
          <w:kern w:val="0"/>
          <w:sz w:val="24"/>
        </w:rPr>
        <w:t xml:space="preserve">。运用 Geoprobe </w:t>
      </w:r>
      <w:r>
        <w:rPr>
          <w:rFonts w:hint="eastAsia" w:ascii="Times New Roman" w:hAnsi="Times New Roman"/>
          <w:color w:val="000000"/>
          <w:kern w:val="0"/>
          <w:sz w:val="24"/>
        </w:rPr>
        <w:t>钻井设备，采用高液压动力驱动，将</w:t>
      </w:r>
      <w:r>
        <w:rPr>
          <w:rFonts w:ascii="Times New Roman" w:hAnsi="Times New Roman"/>
          <w:color w:val="000000"/>
          <w:kern w:val="0"/>
          <w:sz w:val="24"/>
        </w:rPr>
        <w:t>Φ110</w:t>
      </w:r>
      <w:r>
        <w:rPr>
          <w:rFonts w:hint="eastAsia" w:ascii="Times New Roman" w:hAnsi="Times New Roman"/>
          <w:color w:val="000000"/>
          <w:kern w:val="0"/>
          <w:sz w:val="24"/>
        </w:rPr>
        <w:t>～</w:t>
      </w:r>
      <w:r>
        <w:rPr>
          <w:rFonts w:ascii="Times New Roman" w:hAnsi="Times New Roman"/>
          <w:color w:val="000000"/>
          <w:kern w:val="0"/>
          <w:sz w:val="24"/>
        </w:rPr>
        <w:t xml:space="preserve">130mm </w:t>
      </w:r>
      <w:r>
        <w:rPr>
          <w:rFonts w:hint="eastAsia" w:ascii="Times New Roman" w:hAnsi="Times New Roman"/>
          <w:color w:val="000000"/>
          <w:kern w:val="0"/>
          <w:sz w:val="24"/>
        </w:rPr>
        <w:t>的钻具钻至潜水层再往下</w:t>
      </w:r>
      <w:r>
        <w:rPr>
          <w:rFonts w:ascii="Times New Roman" w:hAnsi="Times New Roman"/>
          <w:color w:val="000000"/>
          <w:kern w:val="0"/>
          <w:sz w:val="24"/>
        </w:rPr>
        <w:t>3</w:t>
      </w:r>
      <w:r>
        <w:rPr>
          <w:rFonts w:hint="eastAsia" w:ascii="Times New Roman" w:hAnsi="Times New Roman"/>
          <w:color w:val="000000"/>
          <w:kern w:val="0"/>
          <w:sz w:val="24"/>
        </w:rPr>
        <w:t>米。安装</w:t>
      </w:r>
      <w:r>
        <w:rPr>
          <w:rFonts w:ascii="Times New Roman" w:hAnsi="Times New Roman"/>
          <w:color w:val="000000"/>
          <w:kern w:val="0"/>
          <w:sz w:val="24"/>
        </w:rPr>
        <w:t>Φ60mm</w:t>
      </w:r>
      <w:r>
        <w:rPr>
          <w:rFonts w:hint="eastAsia" w:ascii="Times New Roman" w:hAnsi="Times New Roman"/>
          <w:color w:val="000000"/>
          <w:kern w:val="0"/>
          <w:sz w:val="24"/>
        </w:rPr>
        <w:t>的</w:t>
      </w:r>
      <w:r>
        <w:rPr>
          <w:rFonts w:ascii="Times New Roman" w:hAnsi="Times New Roman"/>
          <w:color w:val="000000"/>
          <w:kern w:val="0"/>
          <w:sz w:val="24"/>
        </w:rPr>
        <w:t>PVC</w:t>
      </w:r>
      <w:r>
        <w:rPr>
          <w:rFonts w:hint="eastAsia" w:ascii="Times New Roman" w:hAnsi="Times New Roman"/>
          <w:color w:val="000000"/>
          <w:kern w:val="0"/>
          <w:sz w:val="24"/>
        </w:rPr>
        <w:t>材料的井管，井管底部</w:t>
      </w:r>
      <w:r>
        <w:rPr>
          <w:rFonts w:ascii="Times New Roman" w:hAnsi="Times New Roman"/>
          <w:color w:val="000000"/>
          <w:kern w:val="0"/>
          <w:sz w:val="24"/>
        </w:rPr>
        <w:t>1.5</w:t>
      </w:r>
      <w:r>
        <w:rPr>
          <w:rFonts w:hint="eastAsia" w:ascii="Times New Roman" w:hAnsi="Times New Roman"/>
          <w:color w:val="000000"/>
          <w:kern w:val="0"/>
          <w:sz w:val="24"/>
        </w:rPr>
        <w:t>米为滤水管，其余为盲水管。滤水管底部应安装一个</w:t>
      </w:r>
      <w:r>
        <w:rPr>
          <w:rFonts w:ascii="Times New Roman" w:hAnsi="Times New Roman"/>
          <w:color w:val="000000"/>
          <w:kern w:val="0"/>
          <w:sz w:val="24"/>
        </w:rPr>
        <w:t>5</w:t>
      </w:r>
      <w:r>
        <w:rPr>
          <w:rFonts w:hint="eastAsia" w:ascii="Times New Roman" w:hAnsi="Times New Roman"/>
          <w:color w:val="000000"/>
          <w:kern w:val="0"/>
          <w:sz w:val="24"/>
        </w:rPr>
        <w:t>厘米的管帽，水井顶端的盲水管上也需安装一个</w:t>
      </w:r>
      <w:r>
        <w:rPr>
          <w:rFonts w:ascii="Times New Roman" w:hAnsi="Times New Roman"/>
          <w:color w:val="000000"/>
          <w:kern w:val="0"/>
          <w:sz w:val="24"/>
        </w:rPr>
        <w:t>5</w:t>
      </w:r>
      <w:r>
        <w:rPr>
          <w:rFonts w:hint="eastAsia" w:ascii="Times New Roman" w:hAnsi="Times New Roman"/>
          <w:color w:val="000000"/>
          <w:kern w:val="0"/>
          <w:sz w:val="24"/>
        </w:rPr>
        <w:t>厘米长的管帽。井的顶端一般超过地面</w:t>
      </w:r>
      <w:r>
        <w:rPr>
          <w:rFonts w:ascii="Times New Roman" w:hAnsi="Times New Roman"/>
          <w:color w:val="000000"/>
          <w:kern w:val="0"/>
          <w:sz w:val="24"/>
        </w:rPr>
        <w:t>0.2-0.5</w:t>
      </w:r>
      <w:r>
        <w:rPr>
          <w:rFonts w:hint="eastAsia" w:ascii="Times New Roman" w:hAnsi="Times New Roman"/>
          <w:color w:val="000000"/>
          <w:kern w:val="0"/>
          <w:sz w:val="24"/>
        </w:rPr>
        <w:t>米。</w:t>
      </w:r>
    </w:p>
    <w:p>
      <w:pPr>
        <w:widowControl/>
        <w:spacing w:line="500" w:lineRule="exact"/>
        <w:ind w:firstLine="480" w:firstLineChars="200"/>
        <w:contextualSpacing/>
        <w:rPr>
          <w:rFonts w:ascii="Times New Roman" w:hAnsi="Times New Roman"/>
          <w:color w:val="000000"/>
          <w:sz w:val="24"/>
        </w:rPr>
      </w:pPr>
      <w:r>
        <w:rPr>
          <w:rFonts w:hint="eastAsia" w:ascii="Times New Roman" w:hAnsi="Times New Roman"/>
          <w:color w:val="000000"/>
          <w:kern w:val="0"/>
          <w:sz w:val="24"/>
        </w:rPr>
        <w:t>监测井完成后，必须进行洗井，以清除监测井内初次渗入的地下水中夹杂的混浊物，同时也可以提高监测井与周边地下水之间的水力联系。洗井一般分两次，即建井后的洗井和采样前的洗井。在洗井前后及洗井过程中需要监测</w:t>
      </w:r>
      <w:r>
        <w:rPr>
          <w:rFonts w:ascii="Times New Roman" w:hAnsi="Times New Roman"/>
          <w:color w:val="000000"/>
          <w:kern w:val="0"/>
          <w:sz w:val="24"/>
        </w:rPr>
        <w:t>pH</w:t>
      </w:r>
      <w:r>
        <w:rPr>
          <w:rFonts w:hint="eastAsia" w:ascii="Times New Roman" w:hAnsi="Times New Roman"/>
          <w:color w:val="000000"/>
          <w:kern w:val="0"/>
          <w:sz w:val="24"/>
        </w:rPr>
        <w:t>值、电导率、浊度、水温并记录水的颜色、气味等，条件许可时，建议监测氧化还原电位、溶解氧和总溶解盐含量。建井后的洗井首先要求直观判断水质基本上达到水清砂净，同时</w:t>
      </w:r>
      <w:r>
        <w:rPr>
          <w:rFonts w:ascii="Times New Roman" w:hAnsi="Times New Roman"/>
          <w:color w:val="000000"/>
          <w:kern w:val="0"/>
          <w:sz w:val="24"/>
        </w:rPr>
        <w:t>pH</w:t>
      </w:r>
      <w:r>
        <w:rPr>
          <w:rFonts w:hint="eastAsia" w:ascii="Times New Roman" w:hAnsi="Times New Roman"/>
          <w:color w:val="000000"/>
          <w:kern w:val="0"/>
          <w:sz w:val="24"/>
        </w:rPr>
        <w:t>值、电导率、浊度、水温等监测参数值达到稳定，即浊度等参数测试结果连续三次浮动在</w:t>
      </w:r>
      <w:r>
        <w:rPr>
          <w:rFonts w:ascii="Times New Roman" w:hAnsi="Times New Roman"/>
          <w:color w:val="000000"/>
          <w:kern w:val="0"/>
          <w:sz w:val="24"/>
        </w:rPr>
        <w:t>±10%</w:t>
      </w:r>
      <w:r>
        <w:rPr>
          <w:rFonts w:hint="eastAsia" w:ascii="Times New Roman" w:hAnsi="Times New Roman"/>
          <w:color w:val="000000"/>
          <w:kern w:val="0"/>
          <w:sz w:val="24"/>
        </w:rPr>
        <w:t>以内，或浊度小于</w:t>
      </w:r>
      <w:r>
        <w:rPr>
          <w:rFonts w:ascii="Times New Roman" w:hAnsi="Times New Roman"/>
          <w:color w:val="000000"/>
          <w:kern w:val="0"/>
          <w:sz w:val="24"/>
        </w:rPr>
        <w:t>50</w:t>
      </w:r>
      <w:r>
        <w:rPr>
          <w:rFonts w:hint="eastAsia" w:ascii="Times New Roman" w:hAnsi="Times New Roman"/>
          <w:color w:val="000000"/>
          <w:kern w:val="0"/>
          <w:sz w:val="24"/>
        </w:rPr>
        <w:t>个浊度单位。取样前的洗井在第一次洗井</w:t>
      </w:r>
      <w:r>
        <w:rPr>
          <w:rFonts w:ascii="Times New Roman" w:hAnsi="Times New Roman"/>
          <w:color w:val="000000"/>
          <w:kern w:val="0"/>
          <w:sz w:val="24"/>
        </w:rPr>
        <w:t>24</w:t>
      </w:r>
      <w:r>
        <w:rPr>
          <w:rFonts w:hint="eastAsia" w:ascii="Times New Roman" w:hAnsi="Times New Roman"/>
          <w:color w:val="000000"/>
          <w:kern w:val="0"/>
          <w:sz w:val="24"/>
        </w:rPr>
        <w:t>小时后开始，其洗出的水量要达到井中储水体积的三倍之上，同时要求</w:t>
      </w:r>
      <w:r>
        <w:rPr>
          <w:rFonts w:ascii="Times New Roman" w:hAnsi="Times New Roman"/>
          <w:color w:val="000000"/>
          <w:kern w:val="0"/>
          <w:sz w:val="24"/>
        </w:rPr>
        <w:t>pH</w:t>
      </w:r>
      <w:r>
        <w:rPr>
          <w:rFonts w:hint="eastAsia" w:ascii="Times New Roman" w:hAnsi="Times New Roman"/>
          <w:color w:val="000000"/>
          <w:kern w:val="0"/>
          <w:sz w:val="24"/>
        </w:rPr>
        <w:t>值、电导率、氧化还原电位、溶解氧、浊度、水温等水质参数值稳定但原则上洗出的水量不高于井中储水体积的五倍。</w:t>
      </w:r>
    </w:p>
    <w:p>
      <w:pPr>
        <w:widowControl/>
        <w:spacing w:line="360" w:lineRule="auto"/>
        <w:ind w:firstLine="480" w:firstLineChars="200"/>
        <w:contextualSpacing/>
        <w:rPr>
          <w:rFonts w:ascii="Times New Roman" w:hAnsi="Times New Roman"/>
          <w:color w:val="000000"/>
          <w:kern w:val="0"/>
          <w:sz w:val="24"/>
        </w:rPr>
      </w:pPr>
      <w:r>
        <w:rPr>
          <w:rFonts w:hint="eastAsia" w:ascii="Times New Roman" w:hAnsi="Times New Roman"/>
          <w:color w:val="000000"/>
          <w:kern w:val="0"/>
          <w:sz w:val="24"/>
        </w:rPr>
        <w:t>地下水采样在采样前的洗井完成后两小时内完成。取水使用一次性贝勒管，要求一井一管，并做到一井一根提水用的尼龙绳，取水位置建议为井中储水的中部。地下水采样过程中，为避免监测井中发生混浊，贝勒管放入和提出时应缓慢进行。</w:t>
      </w:r>
    </w:p>
    <w:p>
      <w:pPr>
        <w:widowControl/>
        <w:spacing w:line="500" w:lineRule="exact"/>
        <w:ind w:firstLine="480" w:firstLineChars="200"/>
        <w:contextualSpacing/>
        <w:rPr>
          <w:rFonts w:ascii="Times New Roman" w:hAnsi="Times New Roman"/>
          <w:color w:val="000000"/>
          <w:sz w:val="24"/>
        </w:rPr>
      </w:pPr>
      <w:r>
        <w:rPr>
          <w:rFonts w:ascii="Times New Roman" w:hAnsi="Times New Roman"/>
          <w:color w:val="000000"/>
          <w:kern w:val="0"/>
          <w:sz w:val="24"/>
        </w:rPr>
        <w:t>根据不同的检测指标，将地下水样品按要求装入不同的样品瓶中。现场人员及时填写采样记录表（主要内容包括：样品名称和编号，气象条件，采样时间，采样位置，采样深度，样品的颜色、气味、质地等，现场检测结果，采样人员等），并在样品瓶体贴上标签，注明样品编号、日期、采样人等信息。样品制备完成后在4 ℃</w:t>
      </w:r>
      <w:r>
        <w:rPr>
          <w:rFonts w:hint="eastAsia" w:ascii="Times New Roman" w:hAnsi="Times New Roman"/>
          <w:color w:val="000000"/>
          <w:kern w:val="0"/>
          <w:sz w:val="24"/>
        </w:rPr>
        <w:t>以下的低温环境中保存，</w:t>
      </w:r>
      <w:r>
        <w:rPr>
          <w:rFonts w:ascii="Times New Roman" w:hAnsi="Times New Roman"/>
          <w:color w:val="000000"/>
          <w:kern w:val="0"/>
          <w:sz w:val="24"/>
        </w:rPr>
        <w:t>48 h</w:t>
      </w:r>
      <w:r>
        <w:rPr>
          <w:rFonts w:hint="eastAsia" w:ascii="Times New Roman" w:hAnsi="Times New Roman"/>
          <w:color w:val="000000"/>
          <w:kern w:val="0"/>
          <w:sz w:val="24"/>
        </w:rPr>
        <w:t>内运至实验室分析。</w:t>
      </w:r>
    </w:p>
    <w:p>
      <w:pPr>
        <w:widowControl/>
        <w:spacing w:line="500" w:lineRule="exact"/>
        <w:ind w:firstLine="480" w:firstLineChars="200"/>
        <w:contextualSpacing/>
        <w:rPr>
          <w:rFonts w:ascii="Times New Roman" w:hAnsi="Times New Roman"/>
          <w:color w:val="000000"/>
          <w:kern w:val="0"/>
          <w:sz w:val="24"/>
        </w:rPr>
      </w:pPr>
      <w:r>
        <w:rPr>
          <w:rFonts w:ascii="Times New Roman" w:hAnsi="Times New Roman"/>
          <w:color w:val="000000"/>
          <w:kern w:val="0"/>
          <w:sz w:val="24"/>
        </w:rPr>
        <w:t>样品装运前核对采样记录表、样签等，如有缺漏项和错误处，应及时补齐和修正</w:t>
      </w:r>
      <w:r>
        <w:rPr>
          <w:rFonts w:hint="eastAsia" w:ascii="Times New Roman" w:hAnsi="Times New Roman"/>
          <w:color w:val="000000"/>
          <w:kern w:val="0"/>
          <w:sz w:val="24"/>
        </w:rPr>
        <w:t>后方可装运。样品运输过程中严防损失、混淆或玷污。样品送到实验室后，采样人员和实验室样品管理员双方同时清点核实样品，并在样品运输跟踪单上签字确认。</w:t>
      </w:r>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177" w:name="_Toc515202988"/>
      <w:bookmarkStart w:id="178" w:name="_Toc521598197"/>
      <w:bookmarkStart w:id="179" w:name="_Toc536433501"/>
      <w:bookmarkStart w:id="180" w:name="_Toc13773068"/>
      <w:bookmarkStart w:id="181" w:name="_Toc29626"/>
      <w:r>
        <w:rPr>
          <w:rFonts w:ascii="Times New Roman" w:hAnsi="Times New Roman"/>
          <w:b/>
          <w:bCs/>
          <w:sz w:val="28"/>
          <w:szCs w:val="32"/>
        </w:rPr>
        <w:t>8.3质量控制与质量保证</w:t>
      </w:r>
      <w:bookmarkEnd w:id="177"/>
      <w:bookmarkEnd w:id="178"/>
      <w:bookmarkEnd w:id="179"/>
      <w:bookmarkEnd w:id="180"/>
      <w:bookmarkEnd w:id="181"/>
    </w:p>
    <w:p>
      <w:pPr>
        <w:widowControl/>
        <w:spacing w:line="500" w:lineRule="exact"/>
        <w:contextualSpacing/>
        <w:rPr>
          <w:rFonts w:ascii="Times New Roman" w:hAnsi="Times New Roman" w:eastAsia="宋体" w:cs="Times New Roman"/>
          <w:b/>
          <w:color w:val="000000"/>
          <w:kern w:val="0"/>
          <w:sz w:val="24"/>
          <w:szCs w:val="24"/>
        </w:rPr>
      </w:pPr>
      <w:bookmarkStart w:id="182" w:name="_Toc13773069"/>
      <w:r>
        <w:rPr>
          <w:rFonts w:ascii="Times New Roman" w:hAnsi="Times New Roman" w:eastAsia="宋体" w:cs="Times New Roman"/>
          <w:b/>
          <w:color w:val="000000"/>
          <w:kern w:val="0"/>
          <w:sz w:val="24"/>
          <w:szCs w:val="24"/>
        </w:rPr>
        <w:t>8.</w:t>
      </w:r>
      <w:r>
        <w:rPr>
          <w:rFonts w:hint="eastAsia" w:ascii="Times New Roman" w:hAnsi="Times New Roman" w:eastAsia="宋体" w:cs="Times New Roman"/>
          <w:b/>
          <w:color w:val="000000"/>
          <w:kern w:val="0"/>
          <w:sz w:val="24"/>
          <w:szCs w:val="24"/>
        </w:rPr>
        <w:t>3.1质控要求</w:t>
      </w:r>
      <w:bookmarkEnd w:id="182"/>
    </w:p>
    <w:p>
      <w:pPr>
        <w:widowControl/>
        <w:spacing w:line="500" w:lineRule="exact"/>
        <w:ind w:firstLine="420"/>
        <w:contextualSpacing/>
        <w:rPr>
          <w:rFonts w:ascii="Times New Roman" w:hAnsi="Times New Roman"/>
          <w:kern w:val="0"/>
          <w:sz w:val="24"/>
          <w:szCs w:val="24"/>
        </w:rPr>
      </w:pPr>
      <w:r>
        <w:rPr>
          <w:rFonts w:ascii="Times New Roman" w:hAnsi="Times New Roman"/>
          <w:kern w:val="0"/>
          <w:sz w:val="24"/>
          <w:szCs w:val="24"/>
        </w:rPr>
        <w:t>为防止污染样品，必须建立完整的样品追踪管理程序，内容包括样品的保存、运输、交接等过程的书面记录和责任归属，避免样品被错误放置、混淆及保存过期，为整个环境调查采取全过程严格质控。</w:t>
      </w:r>
    </w:p>
    <w:p>
      <w:pPr>
        <w:widowControl/>
        <w:spacing w:line="500" w:lineRule="exact"/>
        <w:contextualSpacing/>
        <w:rPr>
          <w:rFonts w:ascii="Times New Roman" w:hAnsi="Times New Roman"/>
          <w:b/>
          <w:color w:val="000000"/>
          <w:kern w:val="0"/>
          <w:sz w:val="24"/>
          <w:szCs w:val="24"/>
        </w:rPr>
      </w:pPr>
      <w:r>
        <w:rPr>
          <w:rFonts w:ascii="Times New Roman" w:hAnsi="Times New Roman"/>
          <w:b/>
          <w:color w:val="000000"/>
          <w:kern w:val="0"/>
          <w:sz w:val="24"/>
          <w:szCs w:val="24"/>
        </w:rPr>
        <w:t>（1）土壤现场采样耗材准备</w:t>
      </w:r>
    </w:p>
    <w:p>
      <w:pPr>
        <w:widowControl/>
        <w:spacing w:line="500" w:lineRule="exact"/>
        <w:ind w:firstLine="420"/>
        <w:contextualSpacing/>
        <w:rPr>
          <w:rFonts w:ascii="Times New Roman" w:hAnsi="Times New Roman"/>
          <w:color w:val="000000"/>
          <w:kern w:val="0"/>
          <w:sz w:val="24"/>
          <w:szCs w:val="24"/>
        </w:rPr>
      </w:pPr>
      <w:r>
        <w:rPr>
          <w:rFonts w:hint="eastAsia" w:ascii="Times New Roman" w:hAnsi="Times New Roman"/>
          <w:color w:val="000000"/>
          <w:kern w:val="0"/>
          <w:sz w:val="24"/>
          <w:szCs w:val="24"/>
        </w:rPr>
        <w:t>土壤样品的采集要根据分析成分和方法可选择铁锹、铁镐、土铲、土钻、竹刀、采样车等进行采样，采样设备需要根据要求进行彻底清洁，防止发生样品的污染。土壤样品使用样品袋、棕色玻璃瓶、保温箱等保存样品，一次性使用的容器要进行严格的材料验收后才可以使用，循环利用的容器根据不同材质进行清洁处理，防止发生样品污染。</w:t>
      </w:r>
    </w:p>
    <w:p>
      <w:pPr>
        <w:widowControl/>
        <w:spacing w:line="500" w:lineRule="exact"/>
        <w:contextualSpacing/>
        <w:rPr>
          <w:rFonts w:ascii="Times New Roman" w:hAnsi="Times New Roman"/>
          <w:b/>
          <w:color w:val="000000"/>
          <w:kern w:val="0"/>
          <w:sz w:val="24"/>
          <w:szCs w:val="24"/>
        </w:rPr>
      </w:pPr>
      <w:r>
        <w:rPr>
          <w:rFonts w:ascii="Times New Roman" w:hAnsi="Times New Roman"/>
          <w:b/>
          <w:color w:val="000000"/>
          <w:kern w:val="0"/>
          <w:sz w:val="24"/>
          <w:szCs w:val="24"/>
        </w:rPr>
        <w:t>（2）土壤样品采集</w:t>
      </w:r>
    </w:p>
    <w:p>
      <w:pPr>
        <w:widowControl/>
        <w:spacing w:line="500" w:lineRule="exact"/>
        <w:ind w:firstLine="420"/>
        <w:contextualSpacing/>
        <w:rPr>
          <w:rFonts w:ascii="Times New Roman" w:hAnsi="Times New Roman"/>
          <w:color w:val="000000"/>
          <w:kern w:val="0"/>
          <w:sz w:val="24"/>
          <w:szCs w:val="24"/>
        </w:rPr>
      </w:pPr>
      <w:r>
        <w:rPr>
          <w:rFonts w:hint="eastAsia" w:ascii="Times New Roman" w:hAnsi="Times New Roman"/>
          <w:color w:val="000000"/>
          <w:kern w:val="0"/>
          <w:sz w:val="24"/>
          <w:szCs w:val="24"/>
        </w:rPr>
        <w:t>土壤采样遵循《土壤环境监测技术规范》</w:t>
      </w:r>
      <w:r>
        <w:rPr>
          <w:rFonts w:ascii="Times New Roman" w:hAnsi="Times New Roman"/>
          <w:color w:val="000000"/>
          <w:kern w:val="0"/>
          <w:sz w:val="24"/>
          <w:szCs w:val="24"/>
        </w:rPr>
        <w:t>HJ/T166-2004 和《场地环境监测技术导则》HJ25.2-2014。无机污染物的土壤分析样品应采用竹片或硬塑料片采集，挥发性有机物污染、易</w:t>
      </w:r>
      <w:r>
        <w:rPr>
          <w:rFonts w:hint="eastAsia" w:ascii="Times New Roman" w:hAnsi="Times New Roman"/>
          <w:color w:val="000000"/>
          <w:kern w:val="0"/>
          <w:sz w:val="24"/>
          <w:szCs w:val="24"/>
        </w:rPr>
        <w:t>分解有机物污染、恶臭污染土壤的采样，应采用无扰动式的采样方法和工具。钻孔取样可采用快速击入法、快速压入法及回转法，主要工具包括土壤原状取土器和回转取土器。槽探可采用人工刻切块状土取样。采样后立即将样品装入密封的容器，以减少暴露时间。如需采集土壤混合样时，将等量各点采集的土壤样品充分混拌后四分法取得到土壤混合样。易挥发、易分解及含恶臭的样品必须进行单独采样，禁止对样品进行均质化处理，不得采集混合样。</w:t>
      </w:r>
    </w:p>
    <w:p>
      <w:pPr>
        <w:widowControl/>
        <w:spacing w:line="500" w:lineRule="exact"/>
        <w:contextualSpacing/>
        <w:rPr>
          <w:rFonts w:ascii="Times New Roman" w:hAnsi="Times New Roman"/>
          <w:b/>
          <w:color w:val="000000"/>
          <w:kern w:val="0"/>
          <w:sz w:val="24"/>
          <w:szCs w:val="24"/>
        </w:rPr>
      </w:pPr>
      <w:r>
        <w:rPr>
          <w:rFonts w:ascii="Times New Roman" w:hAnsi="Times New Roman"/>
          <w:b/>
          <w:color w:val="000000"/>
          <w:kern w:val="0"/>
          <w:sz w:val="24"/>
          <w:szCs w:val="24"/>
        </w:rPr>
        <w:t>（3）土壤样品保存与运输</w:t>
      </w:r>
    </w:p>
    <w:p>
      <w:pPr>
        <w:widowControl/>
        <w:spacing w:line="500" w:lineRule="exact"/>
        <w:ind w:firstLine="420"/>
        <w:contextualSpacing/>
        <w:rPr>
          <w:rFonts w:ascii="Times New Roman" w:hAnsi="Times New Roman"/>
          <w:color w:val="000000"/>
          <w:kern w:val="0"/>
          <w:sz w:val="24"/>
          <w:szCs w:val="24"/>
        </w:rPr>
      </w:pPr>
      <w:r>
        <w:rPr>
          <w:rFonts w:hint="eastAsia" w:ascii="Times New Roman" w:hAnsi="Times New Roman"/>
          <w:color w:val="000000"/>
          <w:kern w:val="0"/>
          <w:sz w:val="24"/>
          <w:szCs w:val="24"/>
        </w:rPr>
        <w:t>挥发性有机物污染的土壤样品与恶臭污染土壤的样品应采用密封性的采样瓶封装，样品应充满容器整个空间；含易分解有机物的待测定样品，可采取适当的封闭措施（如甲醇或水液封等方式保存于采样瓶中）。样品均置于</w:t>
      </w:r>
      <w:r>
        <w:rPr>
          <w:rFonts w:ascii="Times New Roman" w:hAnsi="Times New Roman"/>
          <w:color w:val="000000"/>
          <w:kern w:val="0"/>
          <w:sz w:val="24"/>
          <w:szCs w:val="24"/>
        </w:rPr>
        <w:t>4℃以下的低温环境（如冰箱）中运输、保存，避免运</w:t>
      </w:r>
      <w:r>
        <w:rPr>
          <w:rFonts w:hint="eastAsia" w:ascii="Times New Roman" w:hAnsi="Times New Roman"/>
          <w:color w:val="000000"/>
          <w:kern w:val="0"/>
          <w:sz w:val="24"/>
          <w:szCs w:val="24"/>
        </w:rPr>
        <w:t>输、保存过程中的挥发损失，送至实验室后应尽快分析测试。挥发性有机物浓度较高的样品装瓶后应密封在塑料袋中，避免交叉污染，应通过运输空白样来控制运输和保存过程中交叉污染情况。分析取用后的剩余样品，待测定全部完成数据出报后，移交样品库保存。土壤样品均在报告发出后保存</w:t>
      </w:r>
      <w:r>
        <w:rPr>
          <w:rFonts w:ascii="Times New Roman" w:hAnsi="Times New Roman"/>
          <w:color w:val="000000"/>
          <w:kern w:val="0"/>
          <w:sz w:val="24"/>
          <w:szCs w:val="24"/>
        </w:rPr>
        <w:t>6 个月。对保留的样品，进行定期检查，防止霉变、土壤标签脱落等。</w:t>
      </w:r>
    </w:p>
    <w:p>
      <w:pPr>
        <w:widowControl/>
        <w:spacing w:line="500" w:lineRule="exact"/>
        <w:contextualSpacing/>
        <w:rPr>
          <w:rFonts w:ascii="Times New Roman" w:hAnsi="Times New Roman"/>
          <w:b/>
          <w:color w:val="000000"/>
          <w:kern w:val="0"/>
          <w:sz w:val="24"/>
          <w:szCs w:val="24"/>
        </w:rPr>
      </w:pPr>
      <w:r>
        <w:rPr>
          <w:rFonts w:ascii="Times New Roman" w:hAnsi="Times New Roman"/>
          <w:b/>
          <w:color w:val="000000"/>
          <w:kern w:val="0"/>
          <w:sz w:val="24"/>
          <w:szCs w:val="24"/>
        </w:rPr>
        <w:t>（4）样品交接</w:t>
      </w:r>
    </w:p>
    <w:p>
      <w:pPr>
        <w:widowControl/>
        <w:spacing w:line="500" w:lineRule="exact"/>
        <w:ind w:firstLine="420"/>
        <w:contextualSpacing/>
        <w:rPr>
          <w:rFonts w:ascii="Times New Roman" w:hAnsi="Times New Roman"/>
          <w:color w:val="000000"/>
          <w:kern w:val="0"/>
          <w:sz w:val="24"/>
          <w:szCs w:val="24"/>
        </w:rPr>
      </w:pPr>
      <w:r>
        <w:rPr>
          <w:rFonts w:hint="eastAsia" w:ascii="Times New Roman" w:hAnsi="Times New Roman"/>
          <w:color w:val="000000"/>
          <w:kern w:val="0"/>
          <w:sz w:val="24"/>
          <w:szCs w:val="24"/>
        </w:rPr>
        <w:t>样品送达采购人指定地点后，由样品管理员接收。样品管理员对样品进行符合性检查，包括：样品包装、标签及外观是否完好。对照采样记录单检查样品名称、采样地点、样品数量、形态等是否一致，核对保存剂加入情况以及样品是否有损坏、污染。当样品有异常，或对样品是否适合监测有疑问时，样品管理员及时向送样人员或采样人员询问，记录有关说明及处理意见。</w:t>
      </w:r>
    </w:p>
    <w:p>
      <w:pPr>
        <w:widowControl/>
        <w:spacing w:line="500" w:lineRule="exact"/>
        <w:ind w:firstLine="420"/>
        <w:contextualSpacing/>
        <w:rPr>
          <w:rFonts w:ascii="Times New Roman" w:hAnsi="Times New Roman"/>
          <w:color w:val="000000"/>
          <w:kern w:val="0"/>
          <w:sz w:val="24"/>
          <w:szCs w:val="24"/>
        </w:rPr>
      </w:pPr>
      <w:r>
        <w:rPr>
          <w:rFonts w:hint="eastAsia" w:ascii="Times New Roman" w:hAnsi="Times New Roman"/>
          <w:color w:val="000000"/>
          <w:kern w:val="0"/>
          <w:sz w:val="24"/>
          <w:szCs w:val="24"/>
        </w:rPr>
        <w:t>样品管理员确定样品唯一性编号，将样品唯一性标识固定在样品容器上，进行样品登记，并由送样人签字。样品管理员进行样品符合性检查、标识和登记后，立即通知实验室分析人员领取样品、进行实验室分析。</w:t>
      </w:r>
    </w:p>
    <w:p>
      <w:pPr>
        <w:widowControl/>
        <w:spacing w:line="500" w:lineRule="exact"/>
        <w:contextualSpacing/>
        <w:rPr>
          <w:rFonts w:ascii="Times New Roman" w:hAnsi="Times New Roman"/>
          <w:b/>
          <w:color w:val="000000"/>
          <w:kern w:val="0"/>
          <w:sz w:val="24"/>
          <w:szCs w:val="24"/>
        </w:rPr>
      </w:pPr>
      <w:r>
        <w:rPr>
          <w:rFonts w:ascii="Times New Roman" w:hAnsi="Times New Roman"/>
          <w:b/>
          <w:color w:val="000000"/>
          <w:kern w:val="0"/>
          <w:sz w:val="24"/>
          <w:szCs w:val="24"/>
        </w:rPr>
        <w:t>（5）样品分析</w:t>
      </w:r>
    </w:p>
    <w:p>
      <w:pPr>
        <w:widowControl/>
        <w:spacing w:line="500" w:lineRule="exact"/>
        <w:ind w:firstLine="420"/>
        <w:contextualSpacing/>
        <w:rPr>
          <w:rFonts w:ascii="Times New Roman" w:hAnsi="Times New Roman"/>
          <w:color w:val="000000"/>
          <w:kern w:val="0"/>
          <w:sz w:val="24"/>
          <w:szCs w:val="24"/>
        </w:rPr>
      </w:pPr>
      <w:r>
        <w:rPr>
          <w:rFonts w:hint="eastAsia" w:ascii="Times New Roman" w:hAnsi="Times New Roman"/>
          <w:color w:val="000000"/>
          <w:kern w:val="0"/>
          <w:sz w:val="24"/>
          <w:szCs w:val="24"/>
        </w:rPr>
        <w:t>样品测定前，按分析方法和相应的色谱条件，对溶剂、试剂和纯水或材料进行空白实验，要求在目标组分的保留时间附近无干扰峰存在，否则更换试剂、溶剂、水或萃取材料，本次项目所用试剂均符合试剂空白要求。仪器空白、方法空白、现场全程序空白按作业指导书执行。</w:t>
      </w:r>
    </w:p>
    <w:p>
      <w:pPr>
        <w:widowControl/>
        <w:spacing w:line="500" w:lineRule="exact"/>
        <w:ind w:firstLine="420"/>
        <w:contextualSpacing/>
        <w:rPr>
          <w:rFonts w:ascii="Times New Roman" w:hAnsi="Times New Roman"/>
          <w:color w:val="000000"/>
          <w:kern w:val="0"/>
          <w:sz w:val="24"/>
          <w:szCs w:val="24"/>
        </w:rPr>
      </w:pPr>
      <w:r>
        <w:rPr>
          <w:rFonts w:hint="eastAsia" w:ascii="Times New Roman" w:hAnsi="Times New Roman"/>
          <w:color w:val="000000"/>
          <w:kern w:val="0"/>
          <w:sz w:val="24"/>
          <w:szCs w:val="24"/>
        </w:rPr>
        <w:t>基本要求是：采样时每批样（指在一次采样活动中，同时准备样品瓶（或其它））、采样后同时运回实验室的样品，实验室以样品量</w:t>
      </w:r>
      <w:r>
        <w:rPr>
          <w:rFonts w:ascii="Times New Roman" w:hAnsi="Times New Roman"/>
          <w:color w:val="000000"/>
          <w:kern w:val="0"/>
          <w:sz w:val="24"/>
          <w:szCs w:val="24"/>
        </w:rPr>
        <w:t>20 及20 以内为一批，至少采一个现场空白；实验</w:t>
      </w:r>
      <w:r>
        <w:rPr>
          <w:rFonts w:hint="eastAsia" w:ascii="Times New Roman" w:hAnsi="Times New Roman"/>
          <w:color w:val="000000"/>
          <w:kern w:val="0"/>
          <w:sz w:val="24"/>
          <w:szCs w:val="24"/>
        </w:rPr>
        <w:t>室分析时每批样品须带</w:t>
      </w:r>
      <w:r>
        <w:rPr>
          <w:rFonts w:ascii="Times New Roman" w:hAnsi="Times New Roman"/>
          <w:color w:val="000000"/>
          <w:kern w:val="0"/>
          <w:sz w:val="24"/>
          <w:szCs w:val="24"/>
        </w:rPr>
        <w:t>1 个方法空白，方法空白中检出目标化合物的浓度不得超过方法的检出</w:t>
      </w:r>
      <w:r>
        <w:rPr>
          <w:rFonts w:hint="eastAsia" w:ascii="Times New Roman" w:hAnsi="Times New Roman"/>
          <w:color w:val="000000"/>
          <w:kern w:val="0"/>
          <w:sz w:val="24"/>
          <w:szCs w:val="24"/>
        </w:rPr>
        <w:t>限。在每批次样品中，随机抽取不少于</w:t>
      </w:r>
      <w:r>
        <w:rPr>
          <w:rFonts w:ascii="Times New Roman" w:hAnsi="Times New Roman"/>
          <w:color w:val="000000"/>
          <w:kern w:val="0"/>
          <w:sz w:val="24"/>
          <w:szCs w:val="24"/>
        </w:rPr>
        <w:t>10%的样品进行平行样测定。平行样测定结果应满足：</w:t>
      </w:r>
    </w:p>
    <w:p>
      <w:pPr>
        <w:widowControl/>
        <w:spacing w:line="500" w:lineRule="exact"/>
        <w:ind w:firstLine="420"/>
        <w:contextualSpacing/>
        <w:rPr>
          <w:rFonts w:ascii="Times New Roman" w:hAnsi="Times New Roman"/>
          <w:color w:val="000000"/>
          <w:kern w:val="0"/>
          <w:sz w:val="24"/>
          <w:szCs w:val="24"/>
        </w:rPr>
      </w:pPr>
      <w:r>
        <w:rPr>
          <w:rFonts w:ascii="Times New Roman" w:hAnsi="Times New Roman"/>
          <w:color w:val="000000"/>
          <w:kern w:val="0"/>
          <w:sz w:val="24"/>
          <w:szCs w:val="24"/>
        </w:rPr>
        <w:t>a. 样品浓度在g/kg 浓度水平时，或者显著高于方法检出限（5~10 倍以上）时，相对偏差</w:t>
      </w:r>
      <w:r>
        <w:rPr>
          <w:rFonts w:hint="eastAsia" w:ascii="Times New Roman" w:hAnsi="Times New Roman"/>
          <w:color w:val="000000"/>
          <w:kern w:val="0"/>
          <w:sz w:val="24"/>
          <w:szCs w:val="24"/>
        </w:rPr>
        <w:t>应小于</w:t>
      </w:r>
      <w:r>
        <w:rPr>
          <w:rFonts w:ascii="Times New Roman" w:hAnsi="Times New Roman"/>
          <w:color w:val="000000"/>
          <w:kern w:val="0"/>
          <w:sz w:val="24"/>
          <w:szCs w:val="24"/>
        </w:rPr>
        <w:t>10%；</w:t>
      </w:r>
    </w:p>
    <w:p>
      <w:pPr>
        <w:widowControl/>
        <w:spacing w:line="500" w:lineRule="exact"/>
        <w:ind w:firstLine="420"/>
        <w:contextualSpacing/>
        <w:rPr>
          <w:rFonts w:ascii="Times New Roman" w:hAnsi="Times New Roman"/>
          <w:color w:val="000000"/>
          <w:kern w:val="0"/>
          <w:sz w:val="24"/>
          <w:szCs w:val="24"/>
        </w:rPr>
      </w:pPr>
      <w:r>
        <w:rPr>
          <w:rFonts w:ascii="Times New Roman" w:hAnsi="Times New Roman"/>
          <w:color w:val="000000"/>
          <w:kern w:val="0"/>
          <w:sz w:val="24"/>
          <w:szCs w:val="24"/>
        </w:rPr>
        <w:t>b. 样品浓度在mg/kg 浓度水平时，或者接近方法检出限时，相对偏差应小于20%；</w:t>
      </w:r>
    </w:p>
    <w:p>
      <w:pPr>
        <w:widowControl/>
        <w:spacing w:line="500" w:lineRule="exact"/>
        <w:ind w:firstLine="420"/>
        <w:contextualSpacing/>
        <w:rPr>
          <w:rFonts w:ascii="Times New Roman" w:hAnsi="Times New Roman"/>
          <w:color w:val="000000"/>
          <w:kern w:val="0"/>
          <w:sz w:val="24"/>
          <w:szCs w:val="24"/>
        </w:rPr>
      </w:pPr>
      <w:r>
        <w:rPr>
          <w:rFonts w:ascii="Times New Roman" w:hAnsi="Times New Roman"/>
          <w:color w:val="000000"/>
          <w:kern w:val="0"/>
          <w:sz w:val="24"/>
          <w:szCs w:val="24"/>
        </w:rPr>
        <w:t>c. 对某些色谱行为较差的组分，相对偏差应小于30%。</w:t>
      </w:r>
    </w:p>
    <w:p>
      <w:pPr>
        <w:widowControl/>
        <w:spacing w:line="500" w:lineRule="exact"/>
        <w:ind w:firstLine="420"/>
        <w:contextualSpacing/>
        <w:rPr>
          <w:rFonts w:ascii="Times New Roman" w:hAnsi="Times New Roman"/>
          <w:color w:val="000000"/>
          <w:kern w:val="0"/>
          <w:sz w:val="24"/>
          <w:szCs w:val="24"/>
        </w:rPr>
      </w:pPr>
      <w:r>
        <w:rPr>
          <w:rFonts w:hint="eastAsia" w:ascii="Times New Roman" w:hAnsi="Times New Roman"/>
          <w:color w:val="000000"/>
          <w:kern w:val="0"/>
          <w:sz w:val="24"/>
          <w:szCs w:val="24"/>
        </w:rPr>
        <w:t>在无环境标准样品时，可采用标准物质配制或替代物。本次项目在实际分析中采用标准物质、标准点检验、平行样等方法来确定样品分析的准确度。</w:t>
      </w:r>
    </w:p>
    <w:p>
      <w:pPr>
        <w:widowControl/>
        <w:spacing w:line="500" w:lineRule="exact"/>
        <w:ind w:firstLine="420"/>
        <w:contextualSpacing/>
        <w:rPr>
          <w:rFonts w:ascii="Times New Roman" w:hAnsi="Times New Roman"/>
          <w:color w:val="000000"/>
          <w:kern w:val="0"/>
          <w:sz w:val="24"/>
          <w:szCs w:val="24"/>
        </w:rPr>
      </w:pPr>
      <w:r>
        <w:rPr>
          <w:rFonts w:hint="eastAsia" w:ascii="Times New Roman" w:hAnsi="Times New Roman"/>
          <w:color w:val="000000"/>
          <w:kern w:val="0"/>
          <w:sz w:val="24"/>
          <w:szCs w:val="24"/>
        </w:rPr>
        <w:t>每批样品分析中，随机抽取不少于</w:t>
      </w:r>
      <w:r>
        <w:rPr>
          <w:rFonts w:ascii="Times New Roman" w:hAnsi="Times New Roman"/>
          <w:color w:val="000000"/>
          <w:kern w:val="0"/>
          <w:sz w:val="24"/>
          <w:szCs w:val="24"/>
        </w:rPr>
        <w:t>10%的样品进行平行样分析。</w:t>
      </w:r>
    </w:p>
    <w:p>
      <w:pPr>
        <w:widowControl/>
        <w:spacing w:line="500" w:lineRule="exact"/>
        <w:contextualSpacing/>
        <w:rPr>
          <w:rFonts w:ascii="Times New Roman" w:hAnsi="Times New Roman"/>
          <w:b/>
          <w:color w:val="000000"/>
          <w:kern w:val="0"/>
          <w:sz w:val="24"/>
          <w:szCs w:val="24"/>
        </w:rPr>
      </w:pPr>
      <w:r>
        <w:rPr>
          <w:rFonts w:ascii="Times New Roman" w:hAnsi="Times New Roman"/>
          <w:b/>
          <w:color w:val="000000"/>
          <w:kern w:val="0"/>
          <w:sz w:val="24"/>
          <w:szCs w:val="24"/>
        </w:rPr>
        <w:t>（6）样品标识</w:t>
      </w:r>
    </w:p>
    <w:p>
      <w:pPr>
        <w:spacing w:line="500" w:lineRule="exact"/>
        <w:ind w:firstLine="420"/>
        <w:rPr>
          <w:rFonts w:ascii="Times New Roman" w:hAnsi="Times New Roman"/>
          <w:color w:val="000000"/>
          <w:kern w:val="0"/>
          <w:sz w:val="24"/>
          <w:szCs w:val="24"/>
        </w:rPr>
      </w:pPr>
      <w:r>
        <w:rPr>
          <w:rFonts w:hint="eastAsia" w:ascii="Times New Roman" w:hAnsi="Times New Roman"/>
          <w:color w:val="000000"/>
          <w:kern w:val="0"/>
          <w:sz w:val="24"/>
          <w:szCs w:val="24"/>
        </w:rPr>
        <w:t>样品唯一性由样品唯一性编号和样品测试状态标识组成。根据定唯一性编号方法。唯一性编号中包括样品类别、采样日期、监测井编号、样品序号、检测项目等信息。样品测试状态标识分“未测”、“在测”、“已测”</w:t>
      </w:r>
      <w:r>
        <w:rPr>
          <w:rFonts w:ascii="Times New Roman" w:hAnsi="Times New Roman"/>
          <w:color w:val="000000"/>
          <w:kern w:val="0"/>
          <w:sz w:val="24"/>
          <w:szCs w:val="24"/>
        </w:rPr>
        <w:t>3 种。样品初始测试状态“未测”标识由样品管理</w:t>
      </w:r>
      <w:r>
        <w:rPr>
          <w:rFonts w:hint="eastAsia" w:ascii="Times New Roman" w:hAnsi="Times New Roman"/>
          <w:color w:val="000000"/>
          <w:kern w:val="0"/>
          <w:sz w:val="24"/>
          <w:szCs w:val="24"/>
        </w:rPr>
        <w:t>员标识。</w:t>
      </w:r>
    </w:p>
    <w:p>
      <w:pPr>
        <w:spacing w:line="500" w:lineRule="exact"/>
        <w:ind w:firstLine="420"/>
        <w:rPr>
          <w:rFonts w:ascii="Times New Roman" w:hAnsi="Times New Roman"/>
          <w:color w:val="000000"/>
          <w:kern w:val="0"/>
          <w:sz w:val="24"/>
          <w:szCs w:val="24"/>
        </w:rPr>
      </w:pPr>
      <w:r>
        <w:rPr>
          <w:rFonts w:hint="eastAsia" w:ascii="Times New Roman" w:hAnsi="Times New Roman"/>
          <w:color w:val="000000"/>
          <w:kern w:val="0"/>
          <w:sz w:val="24"/>
          <w:szCs w:val="24"/>
        </w:rPr>
        <w:t>样品唯一性标识明示在样品容器较醒目且不影响正常监测的位置。在实验室测试过程中有测试人员及时做好分样、移样的样品标识转移，并根据测试状态及时做好相应的标记。</w:t>
      </w:r>
    </w:p>
    <w:p>
      <w:pPr>
        <w:spacing w:line="500" w:lineRule="exact"/>
        <w:ind w:firstLine="420"/>
        <w:rPr>
          <w:rFonts w:ascii="Times New Roman" w:hAnsi="Times New Roman"/>
          <w:color w:val="000000"/>
          <w:kern w:val="0"/>
          <w:sz w:val="24"/>
          <w:szCs w:val="24"/>
        </w:rPr>
      </w:pPr>
      <w:r>
        <w:rPr>
          <w:rFonts w:hint="eastAsia" w:ascii="Times New Roman" w:hAnsi="Times New Roman"/>
          <w:color w:val="000000"/>
          <w:kern w:val="0"/>
          <w:sz w:val="24"/>
          <w:szCs w:val="24"/>
        </w:rPr>
        <w:t>样品流转过程中，除样品唯一性标识需转移和样品测试状态需标识外，任何人、任何时候都不得随意更改样品唯一性编号。分析原始记录记录样品唯一性编号。</w:t>
      </w:r>
    </w:p>
    <w:p>
      <w:pPr>
        <w:widowControl/>
        <w:spacing w:line="500" w:lineRule="exact"/>
        <w:rPr>
          <w:rFonts w:ascii="Times New Roman" w:hAnsi="Times New Roman"/>
          <w:snapToGrid w:val="0"/>
          <w:kern w:val="0"/>
          <w:sz w:val="24"/>
          <w:szCs w:val="24"/>
        </w:rPr>
      </w:pPr>
    </w:p>
    <w:p>
      <w:pPr>
        <w:widowControl/>
        <w:spacing w:line="500" w:lineRule="exact"/>
        <w:rPr>
          <w:rFonts w:ascii="Times New Roman" w:hAnsi="Times New Roman"/>
          <w:snapToGrid w:val="0"/>
          <w:kern w:val="0"/>
          <w:sz w:val="24"/>
          <w:szCs w:val="24"/>
        </w:rPr>
        <w:sectPr>
          <w:pgSz w:w="11906" w:h="16838"/>
          <w:pgMar w:top="1440" w:right="1800" w:bottom="1440" w:left="1800" w:header="851" w:footer="992" w:gutter="0"/>
          <w:cols w:space="425" w:num="1"/>
          <w:docGrid w:type="lines" w:linePitch="312" w:charSpace="0"/>
        </w:sectPr>
      </w:pPr>
    </w:p>
    <w:p>
      <w:pPr>
        <w:keepNext/>
        <w:keepLines/>
        <w:spacing w:line="500" w:lineRule="exact"/>
        <w:outlineLvl w:val="0"/>
        <w:rPr>
          <w:rFonts w:ascii="Times New Roman" w:hAnsi="Times New Roman"/>
          <w:b/>
          <w:bCs/>
          <w:kern w:val="44"/>
          <w:sz w:val="36"/>
          <w:szCs w:val="44"/>
        </w:rPr>
      </w:pPr>
      <w:bookmarkStart w:id="183" w:name="_Toc13847404"/>
      <w:bookmarkStart w:id="184" w:name="_Toc21598"/>
      <w:r>
        <w:rPr>
          <w:rFonts w:hint="eastAsia" w:ascii="Times New Roman" w:hAnsi="Times New Roman"/>
          <w:b/>
          <w:bCs/>
          <w:kern w:val="44"/>
          <w:sz w:val="36"/>
          <w:szCs w:val="44"/>
        </w:rPr>
        <w:t>9</w:t>
      </w:r>
      <w:r>
        <w:rPr>
          <w:rFonts w:ascii="Times New Roman" w:hAnsi="Times New Roman"/>
          <w:b/>
          <w:bCs/>
          <w:kern w:val="44"/>
          <w:sz w:val="36"/>
          <w:szCs w:val="44"/>
        </w:rPr>
        <w:t xml:space="preserve"> </w:t>
      </w:r>
      <w:r>
        <w:rPr>
          <w:rFonts w:hint="eastAsia" w:ascii="Times New Roman" w:hAnsi="Times New Roman"/>
          <w:b/>
          <w:bCs/>
          <w:kern w:val="44"/>
          <w:sz w:val="36"/>
          <w:szCs w:val="44"/>
        </w:rPr>
        <w:t>结果分析</w:t>
      </w:r>
      <w:bookmarkEnd w:id="183"/>
      <w:bookmarkEnd w:id="184"/>
    </w:p>
    <w:p>
      <w:pPr>
        <w:keepNext/>
        <w:keepLines/>
        <w:widowControl/>
        <w:spacing w:before="156" w:beforeLines="50" w:after="156" w:afterLines="50" w:line="500" w:lineRule="exact"/>
        <w:contextualSpacing/>
        <w:outlineLvl w:val="1"/>
        <w:rPr>
          <w:rFonts w:ascii="Times New Roman" w:hAnsi="Times New Roman"/>
          <w:b/>
          <w:bCs/>
          <w:sz w:val="28"/>
          <w:szCs w:val="32"/>
        </w:rPr>
      </w:pPr>
      <w:bookmarkStart w:id="185" w:name="_Toc11111"/>
      <w:r>
        <w:rPr>
          <w:rFonts w:hint="eastAsia" w:ascii="Times New Roman" w:hAnsi="Times New Roman"/>
          <w:b/>
          <w:bCs/>
          <w:sz w:val="28"/>
          <w:szCs w:val="32"/>
        </w:rPr>
        <w:t>9.1结果分析原则</w:t>
      </w:r>
      <w:bookmarkEnd w:id="185"/>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监测企业应根据指南要求开展自行监测并对监测结果进行分析，以下情况可说明所监测重点设施或重点区域已存在污染迹象：</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a）关注污染物浓度超过相应标准中与其用地性质或所属区域相对应的浓度限值的（各监测对象限值标准按照表9.1-1执行）；</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b）关注污染物的监测值与对照点中本底值相比有显著升高的；</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c）某一时段内（2年以上）同一关注污染物监测值变化总体呈显著上升趋势的。</w:t>
      </w:r>
    </w:p>
    <w:p>
      <w:pPr>
        <w:widowControl/>
        <w:jc w:val="center"/>
        <w:rPr>
          <w:rFonts w:ascii="Times New Roman" w:hAnsi="Times New Roman"/>
          <w:b/>
          <w:bCs/>
          <w:snapToGrid w:val="0"/>
          <w:kern w:val="0"/>
          <w:sz w:val="24"/>
          <w:szCs w:val="24"/>
        </w:rPr>
      </w:pPr>
      <w:r>
        <w:rPr>
          <w:rFonts w:hint="eastAsia" w:ascii="Times New Roman" w:hAnsi="Times New Roman"/>
          <w:b/>
          <w:bCs/>
          <w:snapToGrid w:val="0"/>
          <w:kern w:val="0"/>
          <w:sz w:val="24"/>
          <w:szCs w:val="24"/>
        </w:rPr>
        <w:t>表9.1-1</w:t>
      </w:r>
      <w:r>
        <w:rPr>
          <w:rFonts w:ascii="Times New Roman" w:hAnsi="Times New Roman"/>
          <w:b/>
          <w:bCs/>
          <w:snapToGrid w:val="0"/>
          <w:kern w:val="0"/>
          <w:sz w:val="24"/>
          <w:szCs w:val="24"/>
        </w:rPr>
        <w:t xml:space="preserve"> </w:t>
      </w:r>
      <w:r>
        <w:rPr>
          <w:rFonts w:hint="eastAsia" w:ascii="Times New Roman" w:hAnsi="Times New Roman"/>
          <w:b/>
          <w:bCs/>
          <w:snapToGrid w:val="0"/>
          <w:kern w:val="0"/>
          <w:sz w:val="24"/>
          <w:szCs w:val="24"/>
        </w:rPr>
        <w:t>各监测对象相应限值标准</w:t>
      </w:r>
    </w:p>
    <w:p>
      <w:pPr>
        <w:widowControl/>
        <w:jc w:val="center"/>
        <w:rPr>
          <w:rFonts w:ascii="Times New Roman" w:hAnsi="Times New Roman"/>
          <w:b/>
          <w:bCs/>
          <w:snapToGrid w:val="0"/>
          <w:kern w:val="0"/>
          <w:sz w:val="24"/>
          <w:szCs w:val="24"/>
        </w:rPr>
      </w:pPr>
      <w:r>
        <w:rPr>
          <w:rFonts w:ascii="Times New Roman" w:hAnsi="Times New Roman"/>
          <w:b/>
          <w:bCs/>
          <w:snapToGrid w:val="0"/>
          <w:kern w:val="0"/>
          <w:sz w:val="24"/>
          <w:szCs w:val="24"/>
        </w:rPr>
        <w:drawing>
          <wp:inline distT="0" distB="0" distL="0" distR="0">
            <wp:extent cx="5274310" cy="1319530"/>
            <wp:effectExtent l="0" t="0" r="2540" b="0"/>
            <wp:docPr id="63" name="图片 63" descr="C:\Users\jy19k\AppData\Local\Temp\15639374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jy19k\AppData\Local\Temp\1563937484(1).pn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280773" cy="1321459"/>
                    </a:xfrm>
                    <a:prstGeom prst="rect">
                      <a:avLst/>
                    </a:prstGeom>
                    <a:noFill/>
                    <a:ln>
                      <a:noFill/>
                    </a:ln>
                  </pic:spPr>
                </pic:pic>
              </a:graphicData>
            </a:graphic>
          </wp:inline>
        </w:drawing>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对于已存在污染迹象的监测结果，应排除以下情况：</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a）采样或统计分析误差，此时应重新进行采样或分析；</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b）土壤或地下水自然波动导致监测值呈上升趋势的（未超过限值标准）；</w:t>
      </w:r>
    </w:p>
    <w:p>
      <w:pPr>
        <w:widowControl/>
        <w:spacing w:line="500" w:lineRule="exact"/>
        <w:ind w:firstLine="420"/>
        <w:rPr>
          <w:rFonts w:ascii="Times New Roman" w:hAnsi="Times New Roman"/>
          <w:snapToGrid w:val="0"/>
          <w:kern w:val="0"/>
          <w:sz w:val="24"/>
          <w:szCs w:val="24"/>
        </w:rPr>
      </w:pPr>
      <w:r>
        <w:rPr>
          <w:rFonts w:hint="eastAsia" w:ascii="Times New Roman" w:hAnsi="Times New Roman"/>
          <w:snapToGrid w:val="0"/>
          <w:kern w:val="0"/>
          <w:sz w:val="24"/>
          <w:szCs w:val="24"/>
        </w:rPr>
        <w:t>c）土壤本底值过高或企业外部污染源产生的污染导致的污染物浓度超过限值标准；</w:t>
      </w:r>
    </w:p>
    <w:p>
      <w:pPr>
        <w:widowControl/>
        <w:spacing w:line="500" w:lineRule="exact"/>
        <w:ind w:firstLine="420"/>
        <w:rPr>
          <w:rFonts w:hint="eastAsia" w:ascii="Times New Roman" w:hAnsi="Times New Roman"/>
          <w:snapToGrid w:val="0"/>
          <w:kern w:val="0"/>
          <w:sz w:val="24"/>
          <w:szCs w:val="24"/>
        </w:rPr>
      </w:pPr>
      <w:r>
        <w:rPr>
          <w:rFonts w:hint="eastAsia" w:ascii="Times New Roman" w:hAnsi="Times New Roman"/>
          <w:snapToGrid w:val="0"/>
          <w:kern w:val="0"/>
          <w:sz w:val="24"/>
          <w:szCs w:val="24"/>
        </w:rPr>
        <w:t>对于存在污染迹象的重点设施周边或重点区域，应根据具体情况适当增加监测点位，提高监测频次。</w:t>
      </w:r>
    </w:p>
    <w:p>
      <w:pPr>
        <w:pStyle w:val="16"/>
        <w:rPr>
          <w:rFonts w:hint="eastAsia" w:ascii="Times New Roman" w:hAnsi="Times New Roman"/>
          <w:snapToGrid w:val="0"/>
          <w:kern w:val="0"/>
          <w:sz w:val="24"/>
          <w:szCs w:val="24"/>
        </w:rPr>
      </w:pPr>
    </w:p>
    <w:p>
      <w:pPr>
        <w:rPr>
          <w:rFonts w:hint="eastAsia" w:ascii="Times New Roman" w:hAnsi="Times New Roman"/>
          <w:snapToGrid w:val="0"/>
          <w:kern w:val="0"/>
          <w:sz w:val="24"/>
          <w:szCs w:val="24"/>
        </w:rPr>
      </w:pPr>
    </w:p>
    <w:p>
      <w:pPr>
        <w:pStyle w:val="16"/>
        <w:rPr>
          <w:rFonts w:hint="eastAsia" w:ascii="Times New Roman" w:hAnsi="Times New Roman"/>
          <w:snapToGrid w:val="0"/>
          <w:kern w:val="0"/>
          <w:sz w:val="24"/>
          <w:szCs w:val="24"/>
        </w:rPr>
      </w:pPr>
    </w:p>
    <w:p>
      <w:pPr>
        <w:rPr>
          <w:rFonts w:hint="eastAsia" w:ascii="Times New Roman" w:hAnsi="Times New Roman"/>
          <w:snapToGrid w:val="0"/>
          <w:kern w:val="0"/>
          <w:sz w:val="24"/>
          <w:szCs w:val="24"/>
        </w:rPr>
      </w:pPr>
    </w:p>
    <w:p>
      <w:pPr>
        <w:pStyle w:val="16"/>
        <w:rPr>
          <w:rFonts w:hint="eastAsia" w:ascii="Times New Roman" w:hAnsi="Times New Roman"/>
          <w:snapToGrid w:val="0"/>
          <w:kern w:val="0"/>
          <w:sz w:val="24"/>
          <w:szCs w:val="24"/>
        </w:rPr>
      </w:pPr>
    </w:p>
    <w:p>
      <w:pPr>
        <w:rPr>
          <w:rFonts w:hint="eastAsia" w:ascii="Times New Roman" w:hAnsi="Times New Roman"/>
          <w:snapToGrid w:val="0"/>
          <w:kern w:val="0"/>
          <w:sz w:val="24"/>
          <w:szCs w:val="24"/>
        </w:rPr>
      </w:pPr>
    </w:p>
    <w:p>
      <w:pPr>
        <w:keepNext/>
        <w:keepLines/>
        <w:spacing w:line="500" w:lineRule="exact"/>
        <w:outlineLvl w:val="0"/>
        <w:rPr>
          <w:rFonts w:hint="eastAsia" w:ascii="Times New Roman" w:hAnsi="Times New Roman" w:eastAsia="宋体"/>
          <w:b/>
          <w:bCs/>
          <w:kern w:val="44"/>
          <w:sz w:val="36"/>
          <w:szCs w:val="44"/>
          <w:lang w:eastAsia="zh-CN"/>
        </w:rPr>
      </w:pPr>
      <w:bookmarkStart w:id="186" w:name="_Toc4404"/>
      <w:bookmarkStart w:id="187" w:name="_Toc17689"/>
      <w:r>
        <w:rPr>
          <w:rFonts w:hint="eastAsia" w:ascii="Times New Roman" w:hAnsi="Times New Roman"/>
          <w:b/>
          <w:bCs/>
          <w:kern w:val="44"/>
          <w:sz w:val="36"/>
          <w:szCs w:val="44"/>
          <w:lang w:val="en-US" w:eastAsia="zh-CN"/>
        </w:rPr>
        <w:t>10</w:t>
      </w:r>
      <w:r>
        <w:rPr>
          <w:rFonts w:hint="eastAsia" w:ascii="Times New Roman" w:hAnsi="Times New Roman"/>
          <w:b/>
          <w:bCs/>
          <w:kern w:val="44"/>
          <w:sz w:val="36"/>
          <w:szCs w:val="44"/>
        </w:rPr>
        <w:t xml:space="preserve"> </w:t>
      </w:r>
      <w:r>
        <w:rPr>
          <w:rFonts w:hint="eastAsia" w:ascii="Times New Roman" w:hAnsi="Times New Roman"/>
          <w:b/>
          <w:bCs/>
          <w:kern w:val="44"/>
          <w:sz w:val="36"/>
          <w:szCs w:val="44"/>
          <w:lang w:val="en-US" w:eastAsia="zh-CN"/>
        </w:rPr>
        <w:t>建议</w:t>
      </w:r>
      <w:bookmarkEnd w:id="186"/>
      <w:bookmarkEnd w:id="187"/>
    </w:p>
    <w:p>
      <w:pPr>
        <w:keepNext/>
        <w:keepLines/>
        <w:widowControl/>
        <w:spacing w:before="156" w:beforeLines="50" w:after="156" w:afterLines="50" w:line="500" w:lineRule="exact"/>
        <w:contextualSpacing/>
        <w:outlineLvl w:val="1"/>
        <w:rPr>
          <w:rFonts w:ascii="Times New Roman" w:hAnsi="Times New Roman"/>
          <w:snapToGrid w:val="0"/>
          <w:color w:val="000000" w:themeColor="text1"/>
          <w:kern w:val="0"/>
          <w:sz w:val="24"/>
          <w:szCs w:val="24"/>
          <w14:textFill>
            <w14:solidFill>
              <w14:schemeClr w14:val="tx1"/>
            </w14:solidFill>
          </w14:textFill>
        </w:rPr>
      </w:pPr>
      <w:bookmarkStart w:id="188" w:name="_Toc722"/>
      <w:bookmarkStart w:id="189" w:name="_Toc11244"/>
      <w:bookmarkStart w:id="190" w:name="_Toc16017"/>
      <w:r>
        <w:rPr>
          <w:rFonts w:hint="eastAsia" w:ascii="Times New Roman" w:hAnsi="Times New Roman"/>
          <w:b/>
          <w:bCs/>
          <w:color w:val="000000" w:themeColor="text1"/>
          <w:sz w:val="28"/>
          <w:szCs w:val="32"/>
          <w:lang w:val="en-US" w:eastAsia="zh-CN"/>
          <w14:textFill>
            <w14:solidFill>
              <w14:schemeClr w14:val="tx1"/>
            </w14:solidFill>
          </w14:textFill>
        </w:rPr>
        <w:t>10</w:t>
      </w:r>
      <w:r>
        <w:rPr>
          <w:rFonts w:hint="eastAsia" w:ascii="Times New Roman" w:hAnsi="Times New Roman"/>
          <w:b/>
          <w:bCs/>
          <w:color w:val="000000" w:themeColor="text1"/>
          <w:sz w:val="28"/>
          <w:szCs w:val="32"/>
          <w14:textFill>
            <w14:solidFill>
              <w14:schemeClr w14:val="tx1"/>
            </w14:solidFill>
          </w14:textFill>
        </w:rPr>
        <w:t>.1监测频次</w:t>
      </w:r>
      <w:bookmarkEnd w:id="188"/>
      <w:bookmarkEnd w:id="189"/>
      <w:bookmarkEnd w:id="190"/>
    </w:p>
    <w:p>
      <w:pPr>
        <w:widowControl/>
        <w:spacing w:line="500" w:lineRule="exact"/>
        <w:rPr>
          <w:rFonts w:ascii="Times New Roman" w:hAnsi="Times New Roman"/>
          <w:snapToGrid w:val="0"/>
          <w:color w:val="000000" w:themeColor="text1"/>
          <w:kern w:val="0"/>
          <w:sz w:val="24"/>
          <w:szCs w:val="24"/>
          <w14:textFill>
            <w14:solidFill>
              <w14:schemeClr w14:val="tx1"/>
            </w14:solidFill>
          </w14:textFill>
        </w:rPr>
      </w:pPr>
      <w:r>
        <w:rPr>
          <w:rFonts w:ascii="Times New Roman" w:hAnsi="Times New Roman"/>
          <w:snapToGrid w:val="0"/>
          <w:color w:val="000000" w:themeColor="text1"/>
          <w:kern w:val="0"/>
          <w:sz w:val="24"/>
          <w:szCs w:val="24"/>
          <w14:textFill>
            <w14:solidFill>
              <w14:schemeClr w14:val="tx1"/>
            </w14:solidFill>
          </w14:textFill>
        </w:rPr>
        <w:tab/>
      </w:r>
      <w:r>
        <w:rPr>
          <w:rFonts w:hint="eastAsia" w:ascii="Times New Roman" w:hAnsi="Times New Roman"/>
          <w:snapToGrid w:val="0"/>
          <w:color w:val="000000" w:themeColor="text1"/>
          <w:kern w:val="0"/>
          <w:sz w:val="24"/>
          <w:szCs w:val="24"/>
          <w14:textFill>
            <w14:solidFill>
              <w14:schemeClr w14:val="tx1"/>
            </w14:solidFill>
          </w14:textFill>
        </w:rPr>
        <w:t>土壤与地下水自行监测频次依照表</w:t>
      </w:r>
      <w:r>
        <w:rPr>
          <w:rFonts w:hint="eastAsia" w:ascii="Times New Roman" w:hAnsi="Times New Roman"/>
          <w:snapToGrid w:val="0"/>
          <w:color w:val="000000" w:themeColor="text1"/>
          <w:kern w:val="0"/>
          <w:sz w:val="24"/>
          <w:szCs w:val="24"/>
          <w:lang w:val="en-US" w:eastAsia="zh-CN"/>
          <w14:textFill>
            <w14:solidFill>
              <w14:schemeClr w14:val="tx1"/>
            </w14:solidFill>
          </w14:textFill>
        </w:rPr>
        <w:t>10</w:t>
      </w:r>
      <w:r>
        <w:rPr>
          <w:rFonts w:hint="eastAsia" w:ascii="Times New Roman" w:hAnsi="Times New Roman"/>
          <w:snapToGrid w:val="0"/>
          <w:color w:val="000000" w:themeColor="text1"/>
          <w:kern w:val="0"/>
          <w:sz w:val="24"/>
          <w:szCs w:val="24"/>
          <w14:textFill>
            <w14:solidFill>
              <w14:schemeClr w14:val="tx1"/>
            </w14:solidFill>
          </w14:textFill>
        </w:rPr>
        <w:t>.1-1执行。</w:t>
      </w:r>
    </w:p>
    <w:p>
      <w:pPr>
        <w:widowControl/>
        <w:spacing w:line="500" w:lineRule="exact"/>
        <w:jc w:val="center"/>
        <w:rPr>
          <w:rFonts w:ascii="Times New Roman" w:hAnsi="Times New Roman"/>
          <w:snapToGrid w:val="0"/>
          <w:color w:val="000000" w:themeColor="text1"/>
          <w:kern w:val="0"/>
          <w:sz w:val="24"/>
          <w:szCs w:val="24"/>
          <w14:textFill>
            <w14:solidFill>
              <w14:schemeClr w14:val="tx1"/>
            </w14:solidFill>
          </w14:textFill>
        </w:rPr>
      </w:pPr>
      <w:r>
        <w:rPr>
          <w:rFonts w:hint="eastAsia" w:ascii="Times New Roman" w:hAnsi="Times New Roman"/>
          <w:snapToGrid w:val="0"/>
          <w:color w:val="000000" w:themeColor="text1"/>
          <w:kern w:val="0"/>
          <w:sz w:val="24"/>
          <w:szCs w:val="24"/>
          <w14:textFill>
            <w14:solidFill>
              <w14:schemeClr w14:val="tx1"/>
            </w14:solidFill>
          </w14:textFill>
        </w:rPr>
        <w:t xml:space="preserve">表 </w:t>
      </w:r>
      <w:r>
        <w:rPr>
          <w:rFonts w:hint="eastAsia" w:ascii="Times New Roman" w:hAnsi="Times New Roman"/>
          <w:snapToGrid w:val="0"/>
          <w:color w:val="000000" w:themeColor="text1"/>
          <w:kern w:val="0"/>
          <w:sz w:val="24"/>
          <w:szCs w:val="24"/>
          <w:lang w:val="en-US" w:eastAsia="zh-CN"/>
          <w14:textFill>
            <w14:solidFill>
              <w14:schemeClr w14:val="tx1"/>
            </w14:solidFill>
          </w14:textFill>
        </w:rPr>
        <w:t>10</w:t>
      </w:r>
      <w:r>
        <w:rPr>
          <w:rFonts w:hint="eastAsia" w:ascii="Times New Roman" w:hAnsi="Times New Roman"/>
          <w:snapToGrid w:val="0"/>
          <w:color w:val="000000" w:themeColor="text1"/>
          <w:kern w:val="0"/>
          <w:sz w:val="24"/>
          <w:szCs w:val="24"/>
          <w14:textFill>
            <w14:solidFill>
              <w14:schemeClr w14:val="tx1"/>
            </w14:solidFill>
          </w14:textFill>
        </w:rPr>
        <w:t>.1-1</w:t>
      </w:r>
      <w:r>
        <w:rPr>
          <w:rFonts w:ascii="Times New Roman" w:hAnsi="Times New Roman"/>
          <w:snapToGrid w:val="0"/>
          <w:color w:val="000000" w:themeColor="text1"/>
          <w:kern w:val="0"/>
          <w:sz w:val="24"/>
          <w:szCs w:val="24"/>
          <w14:textFill>
            <w14:solidFill>
              <w14:schemeClr w14:val="tx1"/>
            </w14:solidFill>
          </w14:textFill>
        </w:rPr>
        <w:t xml:space="preserve"> </w:t>
      </w:r>
      <w:r>
        <w:rPr>
          <w:rFonts w:hint="eastAsia" w:ascii="Times New Roman" w:hAnsi="Times New Roman"/>
          <w:snapToGrid w:val="0"/>
          <w:color w:val="000000" w:themeColor="text1"/>
          <w:kern w:val="0"/>
          <w:sz w:val="24"/>
          <w:szCs w:val="24"/>
          <w14:textFill>
            <w14:solidFill>
              <w14:schemeClr w14:val="tx1"/>
            </w14:solidFill>
          </w14:textFill>
        </w:rPr>
        <w:t>自行监测的最低监测频次</w:t>
      </w:r>
    </w:p>
    <w:tbl>
      <w:tblPr>
        <w:tblStyle w:val="36"/>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997"/>
        <w:gridCol w:w="3081"/>
        <w:gridCol w:w="3228"/>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3056" w:type="pct"/>
            <w:gridSpan w:val="2"/>
          </w:tcPr>
          <w:p>
            <w:pPr>
              <w:pStyle w:val="38"/>
              <w:spacing w:line="360" w:lineRule="exact"/>
              <w:ind w:left="1178" w:right="1161"/>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监测对象</w:t>
            </w:r>
          </w:p>
        </w:tc>
        <w:tc>
          <w:tcPr>
            <w:tcW w:w="1943" w:type="pct"/>
          </w:tcPr>
          <w:p>
            <w:pPr>
              <w:pStyle w:val="38"/>
              <w:spacing w:line="360" w:lineRule="exact"/>
              <w:ind w:left="620" w:right="583"/>
              <w:jc w:val="center"/>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监测频次</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1202" w:type="pct"/>
            <w:vAlign w:val="center"/>
          </w:tcPr>
          <w:p>
            <w:pPr>
              <w:pStyle w:val="38"/>
              <w:spacing w:line="360" w:lineRule="exact"/>
              <w:ind w:left="412" w:right="39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土壤</w:t>
            </w:r>
          </w:p>
        </w:tc>
        <w:tc>
          <w:tcPr>
            <w:tcW w:w="1854" w:type="pct"/>
          </w:tcPr>
          <w:p>
            <w:pPr>
              <w:pStyle w:val="38"/>
              <w:spacing w:line="360" w:lineRule="exact"/>
              <w:ind w:left="395" w:right="366"/>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土壤一般监测</w:t>
            </w:r>
          </w:p>
        </w:tc>
        <w:tc>
          <w:tcPr>
            <w:tcW w:w="1943" w:type="pct"/>
          </w:tcPr>
          <w:p>
            <w:pPr>
              <w:pStyle w:val="38"/>
              <w:spacing w:line="360" w:lineRule="exact"/>
              <w:ind w:left="620" w:right="583"/>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t>次</w:t>
            </w:r>
            <w:r>
              <w:rPr>
                <w:rFonts w:ascii="Times New Roman" w:hAnsi="Times New Roman" w:eastAsia="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年</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3056" w:type="pct"/>
            <w:gridSpan w:val="2"/>
          </w:tcPr>
          <w:p>
            <w:pPr>
              <w:pStyle w:val="38"/>
              <w:spacing w:line="360" w:lineRule="exact"/>
              <w:ind w:left="1176" w:right="1161"/>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地下水</w:t>
            </w:r>
          </w:p>
        </w:tc>
        <w:tc>
          <w:tcPr>
            <w:tcW w:w="1943" w:type="pct"/>
          </w:tcPr>
          <w:p>
            <w:pPr>
              <w:pStyle w:val="38"/>
              <w:spacing w:line="360" w:lineRule="exact"/>
              <w:ind w:left="620" w:right="583"/>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t>次</w:t>
            </w:r>
            <w:r>
              <w:rPr>
                <w:rFonts w:ascii="Times New Roman" w:hAnsi="Times New Roman" w:eastAsia="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年</w:t>
            </w:r>
          </w:p>
        </w:tc>
      </w:tr>
    </w:tbl>
    <w:p>
      <w:pPr>
        <w:keepNext/>
        <w:keepLines/>
        <w:widowControl/>
        <w:spacing w:before="156" w:beforeLines="50" w:after="156" w:afterLines="50" w:line="500" w:lineRule="exact"/>
        <w:contextualSpacing/>
        <w:outlineLvl w:val="1"/>
        <w:rPr>
          <w:rFonts w:ascii="Times New Roman" w:hAnsi="Times New Roman"/>
          <w:snapToGrid w:val="0"/>
          <w:color w:val="000000" w:themeColor="text1"/>
          <w:kern w:val="0"/>
          <w:sz w:val="24"/>
          <w:szCs w:val="24"/>
          <w14:textFill>
            <w14:solidFill>
              <w14:schemeClr w14:val="tx1"/>
            </w14:solidFill>
          </w14:textFill>
        </w:rPr>
      </w:pPr>
      <w:bookmarkStart w:id="191" w:name="_Toc21685"/>
      <w:bookmarkStart w:id="192" w:name="_Toc614"/>
      <w:bookmarkStart w:id="193" w:name="_Toc21940"/>
      <w:r>
        <w:rPr>
          <w:rFonts w:hint="eastAsia" w:ascii="Times New Roman" w:hAnsi="Times New Roman"/>
          <w:b/>
          <w:bCs/>
          <w:color w:val="000000" w:themeColor="text1"/>
          <w:sz w:val="28"/>
          <w:szCs w:val="32"/>
          <w:lang w:val="en-US" w:eastAsia="zh-CN"/>
          <w14:textFill>
            <w14:solidFill>
              <w14:schemeClr w14:val="tx1"/>
            </w14:solidFill>
          </w14:textFill>
        </w:rPr>
        <w:t>10</w:t>
      </w:r>
      <w:r>
        <w:rPr>
          <w:rFonts w:hint="eastAsia" w:ascii="Times New Roman" w:hAnsi="Times New Roman"/>
          <w:b/>
          <w:bCs/>
          <w:color w:val="000000" w:themeColor="text1"/>
          <w:sz w:val="28"/>
          <w:szCs w:val="32"/>
          <w14:textFill>
            <w14:solidFill>
              <w14:schemeClr w14:val="tx1"/>
            </w14:solidFill>
          </w14:textFill>
        </w:rPr>
        <w:t>.2监测井归档资料</w:t>
      </w:r>
      <w:bookmarkEnd w:id="191"/>
      <w:bookmarkEnd w:id="192"/>
      <w:bookmarkEnd w:id="193"/>
    </w:p>
    <w:p>
      <w:pPr>
        <w:widowControl/>
        <w:spacing w:line="500" w:lineRule="exact"/>
        <w:ind w:firstLine="420"/>
        <w:rPr>
          <w:rFonts w:ascii="Times New Roman" w:hAnsi="Times New Roman"/>
          <w:snapToGrid w:val="0"/>
          <w:color w:val="000000" w:themeColor="text1"/>
          <w:kern w:val="0"/>
          <w:sz w:val="24"/>
          <w:szCs w:val="24"/>
          <w14:textFill>
            <w14:solidFill>
              <w14:schemeClr w14:val="tx1"/>
            </w14:solidFill>
          </w14:textFill>
        </w:rPr>
      </w:pPr>
      <w:r>
        <w:rPr>
          <w:rFonts w:hint="eastAsia" w:ascii="Times New Roman" w:hAnsi="Times New Roman"/>
          <w:snapToGrid w:val="0"/>
          <w:color w:val="000000" w:themeColor="text1"/>
          <w:kern w:val="0"/>
          <w:sz w:val="24"/>
          <w:szCs w:val="24"/>
          <w14:textFill>
            <w14:solidFill>
              <w14:schemeClr w14:val="tx1"/>
            </w14:solidFill>
          </w14:textFill>
        </w:rPr>
        <w:t>监测井归档资料包括监测井设计、原始记录、成果资料、竣工报告、建井验收书的纸介质和电子文档等，归档资料应在企业及当地生态环境主管部门备案。</w:t>
      </w:r>
    </w:p>
    <w:p>
      <w:pPr>
        <w:keepNext/>
        <w:keepLines/>
        <w:widowControl/>
        <w:spacing w:before="156" w:beforeLines="50" w:after="156" w:afterLines="50" w:line="500" w:lineRule="exact"/>
        <w:contextualSpacing/>
        <w:outlineLvl w:val="1"/>
        <w:rPr>
          <w:rFonts w:ascii="Times New Roman" w:hAnsi="Times New Roman"/>
          <w:snapToGrid w:val="0"/>
          <w:color w:val="000000" w:themeColor="text1"/>
          <w:kern w:val="0"/>
          <w:sz w:val="24"/>
          <w:szCs w:val="24"/>
          <w14:textFill>
            <w14:solidFill>
              <w14:schemeClr w14:val="tx1"/>
            </w14:solidFill>
          </w14:textFill>
        </w:rPr>
      </w:pPr>
      <w:bookmarkStart w:id="194" w:name="_Toc28875"/>
      <w:bookmarkStart w:id="195" w:name="_Toc3906"/>
      <w:bookmarkStart w:id="196" w:name="_Toc16408"/>
      <w:r>
        <w:rPr>
          <w:rFonts w:hint="eastAsia" w:ascii="Times New Roman" w:hAnsi="Times New Roman"/>
          <w:b/>
          <w:bCs/>
          <w:color w:val="000000" w:themeColor="text1"/>
          <w:sz w:val="28"/>
          <w:szCs w:val="32"/>
          <w:lang w:val="en-US" w:eastAsia="zh-CN"/>
          <w14:textFill>
            <w14:solidFill>
              <w14:schemeClr w14:val="tx1"/>
            </w14:solidFill>
          </w14:textFill>
        </w:rPr>
        <w:t>10</w:t>
      </w:r>
      <w:r>
        <w:rPr>
          <w:rFonts w:hint="eastAsia" w:ascii="Times New Roman" w:hAnsi="Times New Roman"/>
          <w:b/>
          <w:bCs/>
          <w:color w:val="000000" w:themeColor="text1"/>
          <w:sz w:val="28"/>
          <w:szCs w:val="32"/>
          <w14:textFill>
            <w14:solidFill>
              <w14:schemeClr w14:val="tx1"/>
            </w14:solidFill>
          </w14:textFill>
        </w:rPr>
        <w:t>.3监测设施维护</w:t>
      </w:r>
      <w:bookmarkEnd w:id="194"/>
      <w:bookmarkEnd w:id="195"/>
      <w:bookmarkEnd w:id="196"/>
    </w:p>
    <w:p>
      <w:pPr>
        <w:widowControl/>
        <w:spacing w:line="500" w:lineRule="exact"/>
        <w:ind w:firstLine="420"/>
        <w:rPr>
          <w:rFonts w:ascii="Times New Roman" w:hAnsi="Times New Roman"/>
          <w:snapToGrid w:val="0"/>
          <w:color w:val="000000" w:themeColor="text1"/>
          <w:kern w:val="0"/>
          <w:sz w:val="24"/>
          <w:szCs w:val="24"/>
          <w14:textFill>
            <w14:solidFill>
              <w14:schemeClr w14:val="tx1"/>
            </w14:solidFill>
          </w14:textFill>
        </w:rPr>
      </w:pPr>
      <w:r>
        <w:rPr>
          <w:rFonts w:hint="eastAsia" w:ascii="Times New Roman" w:hAnsi="Times New Roman"/>
          <w:snapToGrid w:val="0"/>
          <w:color w:val="000000" w:themeColor="text1"/>
          <w:kern w:val="0"/>
          <w:sz w:val="24"/>
          <w:szCs w:val="24"/>
          <w14:textFill>
            <w14:solidFill>
              <w14:schemeClr w14:val="tx1"/>
            </w14:solidFill>
          </w14:textFill>
        </w:rPr>
        <w:t>为防止监测井物理破坏，防止地表水、污染物质进入，监测井应建有井台、井口保护管、锁盖等。井台构筑通常分为明显式和隐藏式井台，隐藏式井台与地面齐平，适用于路面等特殊位置。</w:t>
      </w:r>
    </w:p>
    <w:p>
      <w:pPr>
        <w:widowControl/>
        <w:spacing w:line="500" w:lineRule="exact"/>
        <w:ind w:firstLine="420"/>
        <w:rPr>
          <w:rFonts w:ascii="Times New Roman" w:hAnsi="Times New Roman"/>
          <w:snapToGrid w:val="0"/>
          <w:color w:val="000000" w:themeColor="text1"/>
          <w:kern w:val="0"/>
          <w:sz w:val="24"/>
          <w:szCs w:val="24"/>
          <w14:textFill>
            <w14:solidFill>
              <w14:schemeClr w14:val="tx1"/>
            </w14:solidFill>
          </w14:textFill>
        </w:rPr>
      </w:pPr>
      <w:r>
        <w:rPr>
          <w:rFonts w:hint="eastAsia" w:ascii="Times New Roman" w:hAnsi="Times New Roman"/>
          <w:snapToGrid w:val="0"/>
          <w:color w:val="000000" w:themeColor="text1"/>
          <w:kern w:val="0"/>
          <w:sz w:val="24"/>
          <w:szCs w:val="24"/>
          <w14:textFill>
            <w14:solidFill>
              <w14:schemeClr w14:val="tx1"/>
            </w14:solidFill>
          </w14:textFill>
        </w:rPr>
        <w:t>（1）采用明显式井台的，井管地上部分约30-50 cm，超出地面的部分采用管套保护，保护管顶端安装可开合的盖子，并有上锁的位置。安装时，监测井井管位于保护管中央。井口保护管建议选择强度较大且不宜损坏材质，管长1 m，直径比井管大10 cm左右，高出平台50 cm，外部刷防锈漆。监测井井口用与井管同材质的丝堵或管帽封堵。</w:t>
      </w:r>
    </w:p>
    <w:p>
      <w:pPr>
        <w:widowControl/>
        <w:spacing w:line="500" w:lineRule="exact"/>
        <w:ind w:firstLine="420"/>
        <w:rPr>
          <w:rFonts w:ascii="Times New Roman" w:hAnsi="Times New Roman"/>
          <w:snapToGrid w:val="0"/>
          <w:color w:val="000000" w:themeColor="text1"/>
          <w:kern w:val="0"/>
          <w:sz w:val="24"/>
          <w:szCs w:val="24"/>
          <w14:textFill>
            <w14:solidFill>
              <w14:schemeClr w14:val="tx1"/>
            </w14:solidFill>
          </w14:textFill>
        </w:rPr>
      </w:pPr>
      <w:r>
        <w:rPr>
          <w:rFonts w:hint="eastAsia" w:ascii="Times New Roman" w:hAnsi="Times New Roman"/>
          <w:snapToGrid w:val="0"/>
          <w:color w:val="000000" w:themeColor="text1"/>
          <w:kern w:val="0"/>
          <w:sz w:val="24"/>
          <w:szCs w:val="24"/>
          <w14:textFill>
            <w14:solidFill>
              <w14:schemeClr w14:val="tx1"/>
            </w14:solidFill>
          </w14:textFill>
        </w:rPr>
        <w:t>（2）采用隐蔽式井台的，其高度原则上不超过自然地面10 cm。为方便监测时能够打开井盖，建议在地面以下的部分设置直径比井管略大的井套套在井管外，井套外再用水泥固定并筑成土坡状。井套内与井管之间的环形空隙不填充任何物质，以便于井口开启和不妨碍道路通行。</w:t>
      </w:r>
    </w:p>
    <w:p>
      <w:pPr>
        <w:widowControl/>
        <w:spacing w:line="500" w:lineRule="exact"/>
        <w:ind w:firstLine="420"/>
        <w:rPr>
          <w:rFonts w:ascii="Times New Roman" w:hAnsi="Times New Roman"/>
          <w:snapToGrid w:val="0"/>
          <w:color w:val="000000" w:themeColor="text1"/>
          <w:kern w:val="0"/>
          <w:sz w:val="24"/>
          <w:szCs w:val="24"/>
          <w14:textFill>
            <w14:solidFill>
              <w14:schemeClr w14:val="tx1"/>
            </w14:solidFill>
          </w14:textFill>
        </w:rPr>
      </w:pPr>
      <w:r>
        <w:rPr>
          <w:rFonts w:hint="eastAsia" w:ascii="Times New Roman" w:hAnsi="Times New Roman"/>
          <w:snapToGrid w:val="0"/>
          <w:color w:val="000000" w:themeColor="text1"/>
          <w:kern w:val="0"/>
          <w:sz w:val="24"/>
          <w:szCs w:val="24"/>
          <w14:textFill>
            <w14:solidFill>
              <w14:schemeClr w14:val="tx1"/>
            </w14:solidFill>
          </w14:textFill>
        </w:rPr>
        <w:t>应指派专人对监测井的设施进行经常性维护，设施一经损坏，需及时修复。</w:t>
      </w:r>
    </w:p>
    <w:p>
      <w:pPr>
        <w:widowControl/>
        <w:spacing w:line="500" w:lineRule="exact"/>
        <w:ind w:firstLine="420"/>
        <w:rPr>
          <w:rFonts w:ascii="Times New Roman" w:hAnsi="Times New Roman"/>
          <w:snapToGrid w:val="0"/>
          <w:color w:val="000000" w:themeColor="text1"/>
          <w:kern w:val="0"/>
          <w:sz w:val="24"/>
          <w:szCs w:val="24"/>
          <w14:textFill>
            <w14:solidFill>
              <w14:schemeClr w14:val="tx1"/>
            </w14:solidFill>
          </w14:textFill>
        </w:rPr>
      </w:pPr>
      <w:r>
        <w:rPr>
          <w:rFonts w:hint="eastAsia" w:ascii="Times New Roman" w:hAnsi="Times New Roman"/>
          <w:snapToGrid w:val="0"/>
          <w:color w:val="000000" w:themeColor="text1"/>
          <w:kern w:val="0"/>
          <w:sz w:val="24"/>
          <w:szCs w:val="24"/>
          <w14:textFill>
            <w14:solidFill>
              <w14:schemeClr w14:val="tx1"/>
            </w14:solidFill>
          </w14:textFill>
        </w:rPr>
        <w:t>地下水监测井每年测量井深一次，当监测井内淤积物淤没滤水管或井内水深小于1 m时，应及时清淤。</w:t>
      </w:r>
    </w:p>
    <w:p>
      <w:pPr>
        <w:widowControl/>
        <w:spacing w:line="500" w:lineRule="exact"/>
        <w:ind w:firstLine="420"/>
        <w:rPr>
          <w:rFonts w:ascii="Times New Roman" w:hAnsi="Times New Roman"/>
          <w:snapToGrid w:val="0"/>
          <w:color w:val="000000" w:themeColor="text1"/>
          <w:kern w:val="0"/>
          <w:sz w:val="24"/>
          <w:szCs w:val="24"/>
          <w14:textFill>
            <w14:solidFill>
              <w14:schemeClr w14:val="tx1"/>
            </w14:solidFill>
          </w14:textFill>
        </w:rPr>
      </w:pPr>
      <w:r>
        <w:rPr>
          <w:rFonts w:hint="eastAsia" w:ascii="Times New Roman" w:hAnsi="Times New Roman"/>
          <w:snapToGrid w:val="0"/>
          <w:color w:val="000000" w:themeColor="text1"/>
          <w:kern w:val="0"/>
          <w:sz w:val="24"/>
          <w:szCs w:val="24"/>
          <w14:textFill>
            <w14:solidFill>
              <w14:schemeClr w14:val="tx1"/>
            </w14:solidFill>
          </w14:textFill>
        </w:rPr>
        <w:t>井口固定点标志和孔口保护帽等发生移位或损坏时，需及时修复。</w:t>
      </w:r>
    </w:p>
    <w:p>
      <w:pPr>
        <w:keepNext/>
        <w:keepLines/>
        <w:widowControl/>
        <w:spacing w:before="156" w:beforeLines="50" w:after="156" w:afterLines="50" w:line="500" w:lineRule="exact"/>
        <w:contextualSpacing/>
        <w:outlineLvl w:val="1"/>
        <w:rPr>
          <w:rFonts w:ascii="Times New Roman" w:hAnsi="Times New Roman"/>
          <w:b/>
          <w:bCs/>
          <w:color w:val="000000" w:themeColor="text1"/>
          <w:sz w:val="28"/>
          <w:szCs w:val="32"/>
          <w14:textFill>
            <w14:solidFill>
              <w14:schemeClr w14:val="tx1"/>
            </w14:solidFill>
          </w14:textFill>
        </w:rPr>
      </w:pPr>
      <w:bookmarkStart w:id="197" w:name="_Toc8622"/>
      <w:bookmarkStart w:id="198" w:name="_Toc19598"/>
      <w:bookmarkStart w:id="199" w:name="_Toc567"/>
      <w:r>
        <w:rPr>
          <w:rFonts w:hint="eastAsia" w:ascii="Times New Roman" w:hAnsi="Times New Roman"/>
          <w:b/>
          <w:bCs/>
          <w:color w:val="000000" w:themeColor="text1"/>
          <w:sz w:val="28"/>
          <w:szCs w:val="32"/>
          <w:lang w:val="en-US" w:eastAsia="zh-CN"/>
          <w14:textFill>
            <w14:solidFill>
              <w14:schemeClr w14:val="tx1"/>
            </w14:solidFill>
          </w14:textFill>
        </w:rPr>
        <w:t>10</w:t>
      </w:r>
      <w:r>
        <w:rPr>
          <w:rFonts w:hint="eastAsia" w:ascii="Times New Roman" w:hAnsi="Times New Roman"/>
          <w:b/>
          <w:bCs/>
          <w:color w:val="000000" w:themeColor="text1"/>
          <w:sz w:val="28"/>
          <w:szCs w:val="32"/>
          <w14:textFill>
            <w14:solidFill>
              <w14:schemeClr w14:val="tx1"/>
            </w14:solidFill>
          </w14:textFill>
        </w:rPr>
        <w:t>.4监测方案动态更新</w:t>
      </w:r>
      <w:bookmarkEnd w:id="197"/>
      <w:bookmarkEnd w:id="198"/>
      <w:bookmarkEnd w:id="199"/>
    </w:p>
    <w:p>
      <w:pPr>
        <w:pStyle w:val="16"/>
        <w:jc w:val="left"/>
      </w:pPr>
      <w:r>
        <w:rPr>
          <w:rFonts w:hint="eastAsia" w:ascii="Times New Roman" w:hAnsi="Times New Roman"/>
          <w:snapToGrid w:val="0"/>
          <w:color w:val="000000" w:themeColor="text1"/>
          <w:kern w:val="0"/>
          <w:sz w:val="24"/>
          <w:szCs w:val="24"/>
          <w14:textFill>
            <w14:solidFill>
              <w14:schemeClr w14:val="tx1"/>
            </w14:solidFill>
          </w14:textFill>
        </w:rPr>
        <w:t xml:space="preserve"> </w:t>
      </w:r>
      <w:r>
        <w:rPr>
          <w:rFonts w:hint="eastAsia" w:ascii="Times New Roman" w:hAnsi="Times New Roman" w:eastAsia="宋体" w:cs="Times New Roman"/>
          <w:b w:val="0"/>
          <w:bCs w:val="0"/>
          <w:snapToGrid w:val="0"/>
          <w:color w:val="000000" w:themeColor="text1"/>
          <w:kern w:val="0"/>
          <w:sz w:val="24"/>
          <w:szCs w:val="24"/>
          <w:lang w:val="en-US" w:eastAsia="zh-CN" w:bidi="ar-SA"/>
          <w14:textFill>
            <w14:solidFill>
              <w14:schemeClr w14:val="tx1"/>
            </w14:solidFill>
          </w14:textFill>
        </w:rPr>
        <w:t xml:space="preserve">  </w:t>
      </w:r>
      <w:bookmarkStart w:id="200" w:name="_Toc17898"/>
      <w:r>
        <w:rPr>
          <w:rFonts w:hint="eastAsia" w:ascii="Times New Roman" w:hAnsi="Times New Roman" w:eastAsia="宋体" w:cs="Times New Roman"/>
          <w:b w:val="0"/>
          <w:bCs w:val="0"/>
          <w:snapToGrid w:val="0"/>
          <w:color w:val="000000" w:themeColor="text1"/>
          <w:kern w:val="0"/>
          <w:sz w:val="24"/>
          <w:szCs w:val="24"/>
          <w:lang w:val="en-US" w:eastAsia="zh-CN" w:bidi="ar-SA"/>
          <w14:textFill>
            <w14:solidFill>
              <w14:schemeClr w14:val="tx1"/>
            </w14:solidFill>
          </w14:textFill>
        </w:rPr>
        <w:t>如工艺、原辅材料、平面布置等发生变化，应对土壤和地下水监测布点方案实施动态更新。</w:t>
      </w:r>
      <w:bookmarkEnd w:id="200"/>
    </w:p>
    <w:p>
      <w:pPr>
        <w:widowControl/>
        <w:spacing w:line="500" w:lineRule="exact"/>
        <w:ind w:firstLine="420"/>
        <w:rPr>
          <w:rFonts w:ascii="Times New Roman" w:hAnsi="Times New Roman"/>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方正仿宋_GBK">
    <w:altName w:val="微软雅黑"/>
    <w:panose1 w:val="03000509000000000000"/>
    <w:charset w:val="86"/>
    <w:family w:val="script"/>
    <w:pitch w:val="default"/>
    <w:sig w:usb0="00000000" w:usb1="00000000" w:usb2="00000010" w:usb3="00000000" w:csb0="003C004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PAGE   \* MERGEFORMAT</w:instrText>
    </w:r>
    <w:r>
      <w:fldChar w:fldCharType="separate"/>
    </w:r>
    <w:r>
      <w:rPr>
        <w:lang w:val="zh-CN"/>
      </w:rPr>
      <w:t>88</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宋体"/>
        <w:lang w:eastAsia="zh-CN"/>
      </w:rPr>
    </w:pPr>
    <w:r>
      <w:rPr>
        <w:rFonts w:hint="eastAsia" w:ascii="宋体" w:hAnsi="宋体"/>
        <w:lang w:eastAsia="zh-CN"/>
      </w:rPr>
      <w:t>江苏奥斯佳材料科技有限公司</w:t>
    </w:r>
    <w:r>
      <w:rPr>
        <w:rFonts w:hint="eastAsia" w:ascii="宋体" w:hAnsi="宋体"/>
      </w:rPr>
      <w:t>2</w:t>
    </w:r>
    <w:r>
      <w:rPr>
        <w:rFonts w:hint="eastAsia" w:ascii="宋体" w:hAnsi="宋体"/>
        <w:lang w:val="en-US" w:eastAsia="zh-CN"/>
      </w:rPr>
      <w:t>021</w:t>
    </w:r>
    <w:r>
      <w:rPr>
        <w:rFonts w:hint="eastAsia" w:ascii="宋体" w:hAnsi="宋体"/>
      </w:rPr>
      <w:t>年度土壤与地下水环境质量自行监测</w:t>
    </w:r>
    <w:r>
      <w:rPr>
        <w:rFonts w:hint="eastAsia" w:ascii="宋体" w:hAnsi="宋体"/>
        <w:lang w:eastAsia="zh-CN"/>
      </w:rPr>
      <w:t>方案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593"/>
    <w:rsid w:val="00001CA0"/>
    <w:rsid w:val="000301EC"/>
    <w:rsid w:val="00037C75"/>
    <w:rsid w:val="00044B74"/>
    <w:rsid w:val="00051F23"/>
    <w:rsid w:val="000C36FE"/>
    <w:rsid w:val="000D49BB"/>
    <w:rsid w:val="000E76D8"/>
    <w:rsid w:val="00103B63"/>
    <w:rsid w:val="00105DFB"/>
    <w:rsid w:val="0011530A"/>
    <w:rsid w:val="0011641E"/>
    <w:rsid w:val="00147C74"/>
    <w:rsid w:val="00151D47"/>
    <w:rsid w:val="00162919"/>
    <w:rsid w:val="00166E36"/>
    <w:rsid w:val="00177F05"/>
    <w:rsid w:val="00192959"/>
    <w:rsid w:val="001A5ADB"/>
    <w:rsid w:val="001C4839"/>
    <w:rsid w:val="001C7C32"/>
    <w:rsid w:val="001D4BC7"/>
    <w:rsid w:val="00204DF5"/>
    <w:rsid w:val="0024073A"/>
    <w:rsid w:val="0024749E"/>
    <w:rsid w:val="00272ED4"/>
    <w:rsid w:val="002740E5"/>
    <w:rsid w:val="00281520"/>
    <w:rsid w:val="00296593"/>
    <w:rsid w:val="002B1626"/>
    <w:rsid w:val="00325BC6"/>
    <w:rsid w:val="00353290"/>
    <w:rsid w:val="00395828"/>
    <w:rsid w:val="003C6773"/>
    <w:rsid w:val="003D49E5"/>
    <w:rsid w:val="003E778C"/>
    <w:rsid w:val="003F79E3"/>
    <w:rsid w:val="00400292"/>
    <w:rsid w:val="00404067"/>
    <w:rsid w:val="004216CF"/>
    <w:rsid w:val="00431FF2"/>
    <w:rsid w:val="00460ED8"/>
    <w:rsid w:val="00461FAD"/>
    <w:rsid w:val="00472651"/>
    <w:rsid w:val="00475B9F"/>
    <w:rsid w:val="004840C5"/>
    <w:rsid w:val="004B577E"/>
    <w:rsid w:val="004E3719"/>
    <w:rsid w:val="00523A89"/>
    <w:rsid w:val="00523A96"/>
    <w:rsid w:val="00570982"/>
    <w:rsid w:val="005B0B8F"/>
    <w:rsid w:val="005E173F"/>
    <w:rsid w:val="005E5734"/>
    <w:rsid w:val="0060568C"/>
    <w:rsid w:val="0061344C"/>
    <w:rsid w:val="00642EBB"/>
    <w:rsid w:val="006A3E7C"/>
    <w:rsid w:val="006B41C0"/>
    <w:rsid w:val="006D4C35"/>
    <w:rsid w:val="006E3936"/>
    <w:rsid w:val="00703809"/>
    <w:rsid w:val="00721433"/>
    <w:rsid w:val="00755DDA"/>
    <w:rsid w:val="00757F1A"/>
    <w:rsid w:val="00771539"/>
    <w:rsid w:val="00776070"/>
    <w:rsid w:val="007A051C"/>
    <w:rsid w:val="007D0349"/>
    <w:rsid w:val="007D06A7"/>
    <w:rsid w:val="007E4493"/>
    <w:rsid w:val="007F2594"/>
    <w:rsid w:val="007F65F3"/>
    <w:rsid w:val="0081233D"/>
    <w:rsid w:val="00835E5A"/>
    <w:rsid w:val="0086192D"/>
    <w:rsid w:val="008C5B5E"/>
    <w:rsid w:val="008F09A0"/>
    <w:rsid w:val="009270AE"/>
    <w:rsid w:val="00930BEF"/>
    <w:rsid w:val="00931303"/>
    <w:rsid w:val="00931EAD"/>
    <w:rsid w:val="009351D3"/>
    <w:rsid w:val="00936793"/>
    <w:rsid w:val="009452E6"/>
    <w:rsid w:val="00952739"/>
    <w:rsid w:val="00965ABC"/>
    <w:rsid w:val="0099316D"/>
    <w:rsid w:val="009B313E"/>
    <w:rsid w:val="009D5189"/>
    <w:rsid w:val="009D7533"/>
    <w:rsid w:val="00A03EF1"/>
    <w:rsid w:val="00A20D82"/>
    <w:rsid w:val="00A2520B"/>
    <w:rsid w:val="00A652B6"/>
    <w:rsid w:val="00A938EE"/>
    <w:rsid w:val="00A95FEC"/>
    <w:rsid w:val="00AD3889"/>
    <w:rsid w:val="00AE0F0F"/>
    <w:rsid w:val="00B078B6"/>
    <w:rsid w:val="00B2259B"/>
    <w:rsid w:val="00BA1988"/>
    <w:rsid w:val="00BA5AB9"/>
    <w:rsid w:val="00C05585"/>
    <w:rsid w:val="00C149BC"/>
    <w:rsid w:val="00C34FF0"/>
    <w:rsid w:val="00C61EED"/>
    <w:rsid w:val="00C972B0"/>
    <w:rsid w:val="00CA3778"/>
    <w:rsid w:val="00CC14C9"/>
    <w:rsid w:val="00CF20D3"/>
    <w:rsid w:val="00D044D7"/>
    <w:rsid w:val="00D21233"/>
    <w:rsid w:val="00D4736E"/>
    <w:rsid w:val="00D56660"/>
    <w:rsid w:val="00D955EA"/>
    <w:rsid w:val="00DA1A5F"/>
    <w:rsid w:val="00DC7AAD"/>
    <w:rsid w:val="00DD76F5"/>
    <w:rsid w:val="00DE03B4"/>
    <w:rsid w:val="00DE4664"/>
    <w:rsid w:val="00DF1AC2"/>
    <w:rsid w:val="00E02E5F"/>
    <w:rsid w:val="00EC348E"/>
    <w:rsid w:val="00EC5AEE"/>
    <w:rsid w:val="00EC7E94"/>
    <w:rsid w:val="00ED12D5"/>
    <w:rsid w:val="00EE5B96"/>
    <w:rsid w:val="00EE67D1"/>
    <w:rsid w:val="00F323CE"/>
    <w:rsid w:val="00F40051"/>
    <w:rsid w:val="00F42B9B"/>
    <w:rsid w:val="00F71D19"/>
    <w:rsid w:val="00F739E5"/>
    <w:rsid w:val="00FB39CC"/>
    <w:rsid w:val="00FC2CCB"/>
    <w:rsid w:val="00FC7FA1"/>
    <w:rsid w:val="00FD4D46"/>
    <w:rsid w:val="03963297"/>
    <w:rsid w:val="067C7105"/>
    <w:rsid w:val="14C86B60"/>
    <w:rsid w:val="37E529BD"/>
    <w:rsid w:val="3F2567AB"/>
    <w:rsid w:val="40DF5FEC"/>
    <w:rsid w:val="42DC50EA"/>
    <w:rsid w:val="476F1775"/>
    <w:rsid w:val="4D1F46DC"/>
    <w:rsid w:val="54C77629"/>
    <w:rsid w:val="560C50DD"/>
    <w:rsid w:val="6C18357B"/>
    <w:rsid w:val="74A46606"/>
    <w:rsid w:val="76201AF0"/>
    <w:rsid w:val="783A5FCF"/>
    <w:rsid w:val="7F8E11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5"/>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6"/>
    <w:unhideWhenUsed/>
    <w:qFormat/>
    <w:uiPriority w:val="1"/>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默认段落字体 Para Char Char Char Char Char Char Char Char Char Char Char Char Char"/>
    <w:basedOn w:val="1"/>
    <w:qFormat/>
    <w:uiPriority w:val="0"/>
    <w:rPr>
      <w:rFonts w:ascii="Calibri" w:hAnsi="Calibri"/>
      <w:sz w:val="21"/>
      <w:szCs w:val="20"/>
    </w:rPr>
  </w:style>
  <w:style w:type="paragraph" w:styleId="6">
    <w:name w:val="Normal Indent"/>
    <w:basedOn w:val="1"/>
    <w:semiHidden/>
    <w:unhideWhenUsed/>
    <w:qFormat/>
    <w:uiPriority w:val="99"/>
    <w:pPr>
      <w:ind w:firstLine="420" w:firstLineChars="200"/>
    </w:pPr>
  </w:style>
  <w:style w:type="paragraph" w:styleId="7">
    <w:name w:val="annotation text"/>
    <w:basedOn w:val="1"/>
    <w:link w:val="50"/>
    <w:semiHidden/>
    <w:unhideWhenUsed/>
    <w:qFormat/>
    <w:uiPriority w:val="99"/>
    <w:pPr>
      <w:jc w:val="left"/>
    </w:pPr>
  </w:style>
  <w:style w:type="paragraph" w:styleId="8">
    <w:name w:val="Body Text"/>
    <w:basedOn w:val="1"/>
    <w:link w:val="37"/>
    <w:qFormat/>
    <w:uiPriority w:val="1"/>
    <w:pPr>
      <w:autoSpaceDE w:val="0"/>
      <w:autoSpaceDN w:val="0"/>
      <w:jc w:val="left"/>
    </w:pPr>
    <w:rPr>
      <w:rFonts w:ascii="宋体" w:hAnsi="宋体" w:cs="宋体"/>
      <w:kern w:val="0"/>
      <w:szCs w:val="21"/>
      <w:lang w:eastAsia="en-US"/>
    </w:rPr>
  </w:style>
  <w:style w:type="paragraph" w:styleId="9">
    <w:name w:val="toc 3"/>
    <w:basedOn w:val="1"/>
    <w:next w:val="1"/>
    <w:unhideWhenUsed/>
    <w:qFormat/>
    <w:uiPriority w:val="39"/>
    <w:pPr>
      <w:ind w:left="840" w:leftChars="400"/>
    </w:pPr>
  </w:style>
  <w:style w:type="paragraph" w:styleId="10">
    <w:name w:val="Balloon Text"/>
    <w:basedOn w:val="1"/>
    <w:link w:val="47"/>
    <w:semiHidden/>
    <w:unhideWhenUsed/>
    <w:qFormat/>
    <w:uiPriority w:val="99"/>
    <w:rPr>
      <w:sz w:val="18"/>
      <w:szCs w:val="18"/>
    </w:rPr>
  </w:style>
  <w:style w:type="paragraph" w:styleId="11">
    <w:name w:val="footer"/>
    <w:basedOn w:val="1"/>
    <w:link w:val="28"/>
    <w:unhideWhenUsed/>
    <w:qFormat/>
    <w:uiPriority w:val="99"/>
    <w:pPr>
      <w:tabs>
        <w:tab w:val="center" w:pos="4153"/>
        <w:tab w:val="right" w:pos="8306"/>
      </w:tabs>
      <w:snapToGrid w:val="0"/>
      <w:jc w:val="left"/>
    </w:pPr>
    <w:rPr>
      <w:sz w:val="18"/>
      <w:szCs w:val="18"/>
    </w:rPr>
  </w:style>
  <w:style w:type="paragraph" w:styleId="12">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right" w:leader="dot" w:pos="8296"/>
      </w:tabs>
    </w:pPr>
    <w:rPr>
      <w:rFonts w:ascii="宋体" w:hAnsi="宋体"/>
      <w:b/>
      <w:bCs/>
      <w:kern w:val="44"/>
      <w:sz w:val="24"/>
      <w:szCs w:val="24"/>
    </w:rPr>
  </w:style>
  <w:style w:type="paragraph" w:styleId="14">
    <w:name w:val="toc 4"/>
    <w:basedOn w:val="1"/>
    <w:next w:val="1"/>
    <w:unhideWhenUsed/>
    <w:qFormat/>
    <w:uiPriority w:val="39"/>
    <w:pPr>
      <w:ind w:left="1260" w:leftChars="600"/>
    </w:pPr>
  </w:style>
  <w:style w:type="paragraph" w:styleId="15">
    <w:name w:val="toc 2"/>
    <w:basedOn w:val="1"/>
    <w:next w:val="1"/>
    <w:unhideWhenUsed/>
    <w:qFormat/>
    <w:uiPriority w:val="39"/>
    <w:pPr>
      <w:tabs>
        <w:tab w:val="right" w:leader="dot" w:pos="8296"/>
      </w:tabs>
      <w:ind w:left="420" w:leftChars="200"/>
    </w:pPr>
    <w:rPr>
      <w:rFonts w:ascii="宋体" w:hAnsi="宋体"/>
      <w:sz w:val="24"/>
      <w:szCs w:val="24"/>
    </w:rPr>
  </w:style>
  <w:style w:type="paragraph" w:styleId="16">
    <w:name w:val="Title"/>
    <w:basedOn w:val="1"/>
    <w:next w:val="1"/>
    <w:qFormat/>
    <w:uiPriority w:val="0"/>
    <w:pPr>
      <w:spacing w:beforeLines="100" w:line="400" w:lineRule="atLeast"/>
      <w:jc w:val="center"/>
      <w:outlineLvl w:val="0"/>
    </w:pPr>
    <w:rPr>
      <w:rFonts w:ascii="Arial" w:hAnsi="Arial" w:eastAsia="黑体"/>
      <w:b/>
      <w:bCs/>
      <w:kern w:val="0"/>
      <w:sz w:val="32"/>
      <w:szCs w:val="32"/>
    </w:rPr>
  </w:style>
  <w:style w:type="paragraph" w:styleId="17">
    <w:name w:val="annotation subject"/>
    <w:basedOn w:val="7"/>
    <w:next w:val="7"/>
    <w:link w:val="51"/>
    <w:semiHidden/>
    <w:unhideWhenUsed/>
    <w:qFormat/>
    <w:uiPriority w:val="99"/>
    <w:rPr>
      <w:b/>
      <w:bCs/>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Hyperlink"/>
    <w:basedOn w:val="20"/>
    <w:unhideWhenUsed/>
    <w:qFormat/>
    <w:uiPriority w:val="99"/>
    <w:rPr>
      <w:color w:val="0563C1" w:themeColor="hyperlink"/>
      <w:u w:val="single"/>
      <w14:textFill>
        <w14:solidFill>
          <w14:schemeClr w14:val="hlink"/>
        </w14:solidFill>
      </w14:textFill>
    </w:rPr>
  </w:style>
  <w:style w:type="character" w:styleId="23">
    <w:name w:val="annotation reference"/>
    <w:basedOn w:val="20"/>
    <w:semiHidden/>
    <w:unhideWhenUsed/>
    <w:qFormat/>
    <w:uiPriority w:val="99"/>
    <w:rPr>
      <w:sz w:val="21"/>
      <w:szCs w:val="21"/>
    </w:rPr>
  </w:style>
  <w:style w:type="character" w:customStyle="1" w:styleId="24">
    <w:name w:val="标题 1 字符"/>
    <w:basedOn w:val="20"/>
    <w:link w:val="3"/>
    <w:qFormat/>
    <w:uiPriority w:val="9"/>
    <w:rPr>
      <w:rFonts w:ascii="Calibri" w:hAnsi="Calibri" w:eastAsia="宋体" w:cs="Times New Roman"/>
      <w:b/>
      <w:bCs/>
      <w:kern w:val="44"/>
      <w:sz w:val="44"/>
      <w:szCs w:val="44"/>
    </w:rPr>
  </w:style>
  <w:style w:type="character" w:customStyle="1" w:styleId="25">
    <w:name w:val="标题 2 字符"/>
    <w:basedOn w:val="20"/>
    <w:link w:val="4"/>
    <w:semiHidden/>
    <w:qFormat/>
    <w:uiPriority w:val="9"/>
    <w:rPr>
      <w:rFonts w:asciiTheme="majorHAnsi" w:hAnsiTheme="majorHAnsi" w:eastAsiaTheme="majorEastAsia" w:cstheme="majorBidi"/>
      <w:b/>
      <w:bCs/>
      <w:sz w:val="32"/>
      <w:szCs w:val="32"/>
    </w:rPr>
  </w:style>
  <w:style w:type="character" w:customStyle="1" w:styleId="26">
    <w:name w:val="标题 3 字符"/>
    <w:basedOn w:val="20"/>
    <w:link w:val="5"/>
    <w:qFormat/>
    <w:uiPriority w:val="1"/>
    <w:rPr>
      <w:rFonts w:ascii="Calibri" w:hAnsi="Calibri" w:eastAsia="宋体" w:cs="Times New Roman"/>
      <w:b/>
      <w:bCs/>
      <w:sz w:val="32"/>
      <w:szCs w:val="32"/>
    </w:rPr>
  </w:style>
  <w:style w:type="character" w:customStyle="1" w:styleId="27">
    <w:name w:val="页眉 字符"/>
    <w:basedOn w:val="20"/>
    <w:link w:val="12"/>
    <w:qFormat/>
    <w:uiPriority w:val="99"/>
    <w:rPr>
      <w:sz w:val="18"/>
      <w:szCs w:val="18"/>
    </w:rPr>
  </w:style>
  <w:style w:type="character" w:customStyle="1" w:styleId="28">
    <w:name w:val="页脚 字符"/>
    <w:basedOn w:val="20"/>
    <w:link w:val="11"/>
    <w:qFormat/>
    <w:uiPriority w:val="99"/>
    <w:rPr>
      <w:sz w:val="18"/>
      <w:szCs w:val="18"/>
    </w:rPr>
  </w:style>
  <w:style w:type="paragraph" w:customStyle="1" w:styleId="29">
    <w:name w:val="SS正文"/>
    <w:basedOn w:val="1"/>
    <w:qFormat/>
    <w:uiPriority w:val="0"/>
    <w:pPr>
      <w:spacing w:line="360" w:lineRule="auto"/>
      <w:ind w:right="100" w:rightChars="100" w:firstLine="200" w:firstLineChars="200"/>
      <w:jc w:val="left"/>
    </w:pPr>
    <w:rPr>
      <w:rFonts w:ascii="方正仿宋_GBK" w:hAnsi="方正仿宋_GBK" w:eastAsia="方正仿宋_GBK" w:cs="方正仿宋_GBK"/>
      <w:sz w:val="24"/>
      <w:szCs w:val="24"/>
    </w:rPr>
  </w:style>
  <w:style w:type="paragraph" w:customStyle="1" w:styleId="30">
    <w:name w:val="LD正文"/>
    <w:basedOn w:val="6"/>
    <w:link w:val="31"/>
    <w:qFormat/>
    <w:uiPriority w:val="0"/>
    <w:pPr>
      <w:adjustRightInd w:val="0"/>
      <w:snapToGrid w:val="0"/>
      <w:spacing w:line="360" w:lineRule="auto"/>
      <w:ind w:firstLine="200"/>
    </w:pPr>
    <w:rPr>
      <w:rFonts w:ascii="Times New Roman" w:hAnsi="Times New Roman"/>
      <w:color w:val="0000FF"/>
      <w:sz w:val="24"/>
      <w:szCs w:val="24"/>
    </w:rPr>
  </w:style>
  <w:style w:type="character" w:customStyle="1" w:styleId="31">
    <w:name w:val="LD正文 Char"/>
    <w:link w:val="30"/>
    <w:qFormat/>
    <w:uiPriority w:val="0"/>
    <w:rPr>
      <w:rFonts w:ascii="Times New Roman" w:hAnsi="Times New Roman" w:eastAsia="宋体" w:cs="Times New Roman"/>
      <w:color w:val="0000FF"/>
      <w:sz w:val="24"/>
      <w:szCs w:val="24"/>
    </w:rPr>
  </w:style>
  <w:style w:type="paragraph" w:customStyle="1" w:styleId="32">
    <w:name w:val="正文 ng"/>
    <w:basedOn w:val="1"/>
    <w:link w:val="33"/>
    <w:qFormat/>
    <w:uiPriority w:val="0"/>
    <w:pPr>
      <w:spacing w:line="360" w:lineRule="auto"/>
      <w:ind w:firstLine="480" w:firstLineChars="200"/>
    </w:pPr>
    <w:rPr>
      <w:rFonts w:ascii="Times New Roman" w:hAnsi="Times New Roman"/>
      <w:kern w:val="0"/>
      <w:sz w:val="24"/>
    </w:rPr>
  </w:style>
  <w:style w:type="character" w:customStyle="1" w:styleId="33">
    <w:name w:val="正文 ng Char"/>
    <w:basedOn w:val="20"/>
    <w:link w:val="32"/>
    <w:qFormat/>
    <w:uiPriority w:val="0"/>
    <w:rPr>
      <w:rFonts w:ascii="Times New Roman" w:hAnsi="Times New Roman" w:eastAsia="宋体" w:cs="Times New Roman"/>
      <w:kern w:val="0"/>
      <w:sz w:val="24"/>
    </w:rPr>
  </w:style>
  <w:style w:type="paragraph" w:customStyle="1" w:styleId="34">
    <w:name w:val="4级标题"/>
    <w:basedOn w:val="5"/>
    <w:link w:val="35"/>
    <w:qFormat/>
    <w:uiPriority w:val="0"/>
    <w:pPr>
      <w:spacing w:before="0" w:after="0" w:line="500" w:lineRule="exact"/>
      <w:ind w:firstLine="241" w:firstLineChars="100"/>
    </w:pPr>
    <w:rPr>
      <w:rFonts w:ascii="Times New Roman" w:hAnsi="Times New Roman"/>
      <w:sz w:val="24"/>
    </w:rPr>
  </w:style>
  <w:style w:type="character" w:customStyle="1" w:styleId="35">
    <w:name w:val="4级标题 Char"/>
    <w:basedOn w:val="26"/>
    <w:link w:val="34"/>
    <w:qFormat/>
    <w:uiPriority w:val="0"/>
    <w:rPr>
      <w:rFonts w:ascii="Times New Roman" w:hAnsi="Times New Roman" w:eastAsia="宋体" w:cs="Times New Roman"/>
      <w:sz w:val="24"/>
      <w:szCs w:val="32"/>
    </w:rPr>
  </w:style>
  <w:style w:type="table" w:customStyle="1" w:styleId="36">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character" w:customStyle="1" w:styleId="37">
    <w:name w:val="正文文本 字符"/>
    <w:basedOn w:val="20"/>
    <w:link w:val="8"/>
    <w:qFormat/>
    <w:uiPriority w:val="1"/>
    <w:rPr>
      <w:rFonts w:ascii="宋体" w:hAnsi="宋体" w:eastAsia="宋体" w:cs="宋体"/>
      <w:kern w:val="0"/>
      <w:szCs w:val="21"/>
      <w:lang w:eastAsia="en-US"/>
    </w:rPr>
  </w:style>
  <w:style w:type="paragraph" w:customStyle="1" w:styleId="38">
    <w:name w:val="Table Paragraph"/>
    <w:basedOn w:val="1"/>
    <w:qFormat/>
    <w:uiPriority w:val="1"/>
    <w:pPr>
      <w:autoSpaceDE w:val="0"/>
      <w:autoSpaceDN w:val="0"/>
      <w:jc w:val="left"/>
    </w:pPr>
    <w:rPr>
      <w:rFonts w:ascii="宋体" w:hAnsi="宋体" w:cs="宋体"/>
      <w:kern w:val="0"/>
      <w:sz w:val="22"/>
      <w:lang w:eastAsia="en-US"/>
    </w:rPr>
  </w:style>
  <w:style w:type="character" w:customStyle="1" w:styleId="39">
    <w:name w:val="正文 南钢 Char"/>
    <w:basedOn w:val="20"/>
    <w:link w:val="40"/>
    <w:qFormat/>
    <w:uiPriority w:val="0"/>
    <w:rPr>
      <w:rFonts w:ascii="Times New Roman" w:hAnsi="Times New Roman" w:eastAsia="宋体" w:cs="Times New Roman"/>
      <w:kern w:val="0"/>
      <w:sz w:val="24"/>
    </w:rPr>
  </w:style>
  <w:style w:type="paragraph" w:customStyle="1" w:styleId="40">
    <w:name w:val="正文 南钢"/>
    <w:basedOn w:val="1"/>
    <w:link w:val="39"/>
    <w:qFormat/>
    <w:uiPriority w:val="0"/>
    <w:pPr>
      <w:spacing w:line="360" w:lineRule="auto"/>
      <w:ind w:firstLine="480" w:firstLineChars="200"/>
    </w:pPr>
    <w:rPr>
      <w:rFonts w:ascii="Times New Roman" w:hAnsi="Times New Roman"/>
      <w:kern w:val="0"/>
      <w:sz w:val="24"/>
    </w:rPr>
  </w:style>
  <w:style w:type="paragraph" w:customStyle="1" w:styleId="41">
    <w:name w:val="2级标题"/>
    <w:basedOn w:val="4"/>
    <w:link w:val="42"/>
    <w:qFormat/>
    <w:uiPriority w:val="0"/>
    <w:pPr>
      <w:widowControl/>
      <w:spacing w:before="120" w:beforeLines="50" w:after="120" w:afterLines="50" w:line="500" w:lineRule="exact"/>
      <w:contextualSpacing/>
    </w:pPr>
    <w:rPr>
      <w:rFonts w:ascii="Times New Roman" w:hAnsi="Times New Roman" w:eastAsia="宋体" w:cs="Times New Roman"/>
      <w:sz w:val="28"/>
    </w:rPr>
  </w:style>
  <w:style w:type="character" w:customStyle="1" w:styleId="42">
    <w:name w:val="2级标题 Char"/>
    <w:basedOn w:val="25"/>
    <w:link w:val="41"/>
    <w:qFormat/>
    <w:uiPriority w:val="0"/>
    <w:rPr>
      <w:rFonts w:ascii="Times New Roman" w:hAnsi="Times New Roman" w:eastAsia="宋体" w:cs="Times New Roman"/>
      <w:sz w:val="28"/>
      <w:szCs w:val="32"/>
    </w:rPr>
  </w:style>
  <w:style w:type="paragraph" w:customStyle="1" w:styleId="43">
    <w:name w:val="南钢"/>
    <w:basedOn w:val="1"/>
    <w:link w:val="44"/>
    <w:qFormat/>
    <w:uiPriority w:val="0"/>
    <w:pPr>
      <w:widowControl/>
      <w:jc w:val="center"/>
    </w:pPr>
    <w:rPr>
      <w:rFonts w:asciiTheme="minorEastAsia" w:hAnsiTheme="minorEastAsia" w:eastAsiaTheme="minorEastAsia"/>
      <w:color w:val="000000"/>
      <w:kern w:val="0"/>
      <w:szCs w:val="21"/>
    </w:rPr>
  </w:style>
  <w:style w:type="character" w:customStyle="1" w:styleId="44">
    <w:name w:val="南钢 Char"/>
    <w:basedOn w:val="20"/>
    <w:link w:val="43"/>
    <w:qFormat/>
    <w:uiPriority w:val="0"/>
    <w:rPr>
      <w:rFonts w:cs="Times New Roman" w:asciiTheme="minorEastAsia" w:hAnsiTheme="minorEastAsia"/>
      <w:color w:val="000000"/>
      <w:kern w:val="0"/>
      <w:szCs w:val="21"/>
    </w:rPr>
  </w:style>
  <w:style w:type="paragraph" w:customStyle="1" w:styleId="45">
    <w:name w:val="表 ng"/>
    <w:basedOn w:val="1"/>
    <w:link w:val="46"/>
    <w:qFormat/>
    <w:uiPriority w:val="0"/>
    <w:pPr>
      <w:adjustRightInd w:val="0"/>
      <w:snapToGrid w:val="0"/>
      <w:jc w:val="center"/>
    </w:pPr>
    <w:rPr>
      <w:rFonts w:ascii="Times New Roman" w:hAnsi="Times New Roman" w:eastAsiaTheme="minorEastAsia"/>
      <w:color w:val="000000"/>
      <w:szCs w:val="21"/>
    </w:rPr>
  </w:style>
  <w:style w:type="character" w:customStyle="1" w:styleId="46">
    <w:name w:val="表 ng Char"/>
    <w:basedOn w:val="20"/>
    <w:link w:val="45"/>
    <w:qFormat/>
    <w:uiPriority w:val="0"/>
    <w:rPr>
      <w:rFonts w:ascii="Times New Roman" w:hAnsi="Times New Roman" w:cs="Times New Roman"/>
      <w:color w:val="000000"/>
      <w:szCs w:val="21"/>
    </w:rPr>
  </w:style>
  <w:style w:type="character" w:customStyle="1" w:styleId="47">
    <w:name w:val="批注框文本 字符"/>
    <w:basedOn w:val="20"/>
    <w:link w:val="10"/>
    <w:semiHidden/>
    <w:qFormat/>
    <w:uiPriority w:val="99"/>
    <w:rPr>
      <w:rFonts w:ascii="Calibri" w:hAnsi="Calibri" w:eastAsia="宋体" w:cs="Times New Roman"/>
      <w:sz w:val="18"/>
      <w:szCs w:val="18"/>
    </w:rPr>
  </w:style>
  <w:style w:type="paragraph" w:styleId="48">
    <w:name w:val="List Paragraph"/>
    <w:basedOn w:val="1"/>
    <w:qFormat/>
    <w:uiPriority w:val="34"/>
    <w:pPr>
      <w:ind w:firstLine="420" w:firstLineChars="200"/>
    </w:pPr>
  </w:style>
  <w:style w:type="paragraph" w:customStyle="1" w:styleId="49">
    <w:name w:val="TOC Heading"/>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50">
    <w:name w:val="批注文字 字符"/>
    <w:basedOn w:val="20"/>
    <w:link w:val="7"/>
    <w:semiHidden/>
    <w:qFormat/>
    <w:uiPriority w:val="99"/>
    <w:rPr>
      <w:rFonts w:ascii="Calibri" w:hAnsi="Calibri" w:eastAsia="宋体" w:cs="Times New Roman"/>
    </w:rPr>
  </w:style>
  <w:style w:type="character" w:customStyle="1" w:styleId="51">
    <w:name w:val="批注主题 字符"/>
    <w:basedOn w:val="50"/>
    <w:link w:val="17"/>
    <w:semiHidden/>
    <w:qFormat/>
    <w:uiPriority w:val="99"/>
    <w:rPr>
      <w:rFonts w:ascii="Calibri" w:hAnsi="Calibri" w:eastAsia="宋体" w:cs="Times New Roman"/>
      <w:b/>
      <w:bCs/>
    </w:rPr>
  </w:style>
  <w:style w:type="paragraph" w:customStyle="1" w:styleId="52">
    <w:name w:val="表格内容"/>
    <w:basedOn w:val="1"/>
    <w:qFormat/>
    <w:uiPriority w:val="0"/>
    <w:pPr>
      <w:spacing w:line="240" w:lineRule="auto"/>
      <w:ind w:firstLine="0" w:firstLineChars="0"/>
      <w:jc w:val="center"/>
    </w:pPr>
    <w:rPr>
      <w:kern w:val="0"/>
      <w:sz w:val="21"/>
      <w:szCs w:val="20"/>
    </w:rPr>
  </w:style>
  <w:style w:type="paragraph" w:customStyle="1" w:styleId="53">
    <w:name w:val="正文 文本"/>
    <w:basedOn w:val="1"/>
    <w:qFormat/>
    <w:uiPriority w:val="0"/>
    <w:pPr>
      <w:ind w:firstLine="480"/>
    </w:pPr>
    <w:rPr>
      <w:bCs/>
      <w:snapToGrid w:val="0"/>
      <w:kern w:val="0"/>
      <w:szCs w:val="44"/>
    </w:rPr>
  </w:style>
  <w:style w:type="paragraph" w:customStyle="1" w:styleId="54">
    <w:name w:val="图"/>
    <w:basedOn w:val="1"/>
    <w:qFormat/>
    <w:uiPriority w:val="0"/>
    <w:pPr>
      <w:spacing w:line="240" w:lineRule="auto"/>
      <w:ind w:firstLine="0" w:firstLineChars="0"/>
      <w:jc w:val="center"/>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microsoft.com/office/2007/relationships/hdphoto" Target="media/image2.wdp"/><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microsoft.com/office/2007/relationships/hdphoto" Target="media/image15.wdp"/><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5.bin"/><Relationship Id="rId17" Type="http://schemas.openxmlformats.org/officeDocument/2006/relationships/image" Target="media/image7.wmf"/><Relationship Id="rId16" Type="http://schemas.openxmlformats.org/officeDocument/2006/relationships/oleObject" Target="embeddings/oleObject4.bin"/><Relationship Id="rId15" Type="http://schemas.openxmlformats.org/officeDocument/2006/relationships/image" Target="media/image6.emf"/><Relationship Id="rId14" Type="http://schemas.openxmlformats.org/officeDocument/2006/relationships/oleObject" Target="embeddings/oleObject3.bin"/><Relationship Id="rId13" Type="http://schemas.openxmlformats.org/officeDocument/2006/relationships/image" Target="media/image5.wmf"/><Relationship Id="rId12" Type="http://schemas.openxmlformats.org/officeDocument/2006/relationships/oleObject" Target="embeddings/oleObject2.bin"/><Relationship Id="rId11" Type="http://schemas.openxmlformats.org/officeDocument/2006/relationships/image" Target="media/image4.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286EAD-DDB9-4369-8DE0-B589AF033E81}">
  <ds:schemaRefs/>
</ds:datastoreItem>
</file>

<file path=docProps/app.xml><?xml version="1.0" encoding="utf-8"?>
<Properties xmlns="http://schemas.openxmlformats.org/officeDocument/2006/extended-properties" xmlns:vt="http://schemas.openxmlformats.org/officeDocument/2006/docPropsVTypes">
  <Template>Normal.dotm</Template>
  <Pages>1</Pages>
  <Words>9266</Words>
  <Characters>52821</Characters>
  <Lines>440</Lines>
  <Paragraphs>123</Paragraphs>
  <TotalTime>1</TotalTime>
  <ScaleCrop>false</ScaleCrop>
  <LinksUpToDate>false</LinksUpToDate>
  <CharactersWithSpaces>61964</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2019-07-12T09:19:00Z</dcterms:created>
  <dc:creator>Yang Jiang</dc:creator>
  <cp:lastModifiedBy>海浪</cp:lastModifiedBy>
  <dcterms:modified xsi:type="dcterms:W3CDTF">2021-08-07T05:08:43Z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938AB1F0E3BE45E08B05EC3AF6AF0AA0</vt:lpwstr>
  </property>
</Properties>
</file>